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eastAsia" w:ascii="方正黑体_GBK" w:hAnsi="方正黑体_GBK" w:eastAsia="方正黑体_GBK" w:cs="方正黑体_GBK"/>
          <w:color w:val="auto"/>
          <w:sz w:val="52"/>
          <w:szCs w:val="52"/>
          <w:lang w:val="en-US" w:eastAsia="zh-CN"/>
        </w:rPr>
        <w:t>（试行）</w:t>
      </w:r>
    </w:p>
    <w:bookmarkEnd w:id="0"/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司  法  部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2025年4月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t>前  言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践行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习近平法治思想，认真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编制了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基本格式文本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各地区、各部门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适用。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实际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进一步完善。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，不得违法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益，不得违法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包含本基本格式文本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关键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要素且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不相抵触的情况下，可以继续使用。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t>说  明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无误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规范连续编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清晰、准确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记录行政执法主体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便于后续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精准统计行政检查数据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三、《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行政检查审批表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行政检查通知书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者盖章。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留存一份，其他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根据实际需要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定。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传真、电子邮件、微信、短信等方式送达有关文书。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注意事项，是对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文书的指导。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基本格式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实际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视频连线等需要被检查人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予以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对被检查人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生产经营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产生直接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影响的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，可不适用本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基本格式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基本格式文本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在本基本格式文本基础上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t>目   录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行政检查情况记录表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……………………………………17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       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</w:rPr>
        <w:t>行政检查审批表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9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被检查人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转办交办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6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>
            <w:pPr>
              <w:pStyle w:val="3"/>
              <w:spacing w:line="6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负责人：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负责人审批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负责人：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u w:val="none" w:color="auto"/>
        </w:rPr>
        <w:br w:type="page"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u w:val="none" w:color="auto"/>
        </w:rPr>
        <w:t>注意事项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u w:val="none" w:color="auto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2.检查事项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根据投诉举报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转办交办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数据监测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等线索确需实施行政检查，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" w:eastAsia="zh-CN"/>
        </w:rPr>
        <w:t>。</w:t>
      </w:r>
    </w:p>
    <w:p>
      <w:pPr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"/>
        </w:rPr>
        <w:t>5.检查人员数量要填写是否有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"/>
        </w:rPr>
        <w:t>，以及具体人数。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0"/>
          <w:szCs w:val="30"/>
          <w:u w:val="none" w:color="auto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</w:rPr>
        <w:t>主要负责人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</w:rPr>
        <w:t>分管负责人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</w:rPr>
        <w:t>。法律、法规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</w:rPr>
        <w:t>规定应当由上级行政机关批准的，依照其规定。</w:t>
      </w:r>
    </w:p>
    <w:p>
      <w:pPr>
        <w:pStyle w:val="3"/>
        <w:spacing w:line="6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u w:val="none" w:color="auto"/>
        </w:rPr>
      </w:pPr>
    </w:p>
    <w:p>
      <w:pPr>
        <w:pStyle w:val="3"/>
        <w:spacing w:line="600" w:lineRule="exact"/>
        <w:rPr>
          <w:rFonts w:hint="default" w:ascii="Times New Roman" w:hAnsi="Times New Roman" w:eastAsia="方正仿宋_GBK" w:cs="Times New Roman"/>
          <w:color w:val="auto"/>
          <w:u w:val="none" w:color="auto"/>
        </w:rPr>
      </w:pPr>
    </w:p>
    <w:p>
      <w:pPr>
        <w:rPr>
          <w:rFonts w:hint="default" w:ascii="Times New Roman" w:hAnsi="Times New Roman" w:eastAsia="方正仿宋_GBK" w:cs="Times New Roman"/>
          <w:color w:val="auto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3"/>
        <w:spacing w:line="600" w:lineRule="exact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3"/>
        <w:spacing w:line="600" w:lineRule="exact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3"/>
        <w:spacing w:line="60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☐专项检查，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次，本次为第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转办交办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受年度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上限限制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权利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有权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如你单位认为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直接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者有其他关系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leftChars="0" w:firstLine="64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left="0" w:leftChars="0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spacing w:line="600" w:lineRule="exact"/>
        <w:ind w:left="0" w:leftChars="0" w:firstLine="0"/>
        <w:jc w:val="left"/>
        <w:rPr>
          <w:rFonts w:hint="default" w:ascii="Times New Roman" w:hAnsi="Times New Roman" w:eastAsia="方正仿宋_GBK" w:cs="Times New Roman"/>
          <w:color w:val="auto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受送达人：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>
      <w:pPr>
        <w:pStyle w:val="3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>回避申请决定书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申请人：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受送达人：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spacing w:line="600" w:lineRule="exact"/>
        <w:ind w:firstLine="0" w:firstLineChars="0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7"/>
        <w:snapToGrid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t>抽样（采样）通知书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决定对你单</w:t>
      </w:r>
      <w:r>
        <w:rPr>
          <w:rFonts w:hint="default" w:ascii="Times New Roman" w:hAnsi="Times New Roman" w:eastAsia="方正仿宋_GBK" w:cs="Times New Roman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>
      <w:pPr>
        <w:pStyle w:val="3"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行政执法人员：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行政执法人员：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8"/>
        <w:spacing w:after="0"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</w:pPr>
    </w:p>
    <w:p>
      <w:pPr>
        <w:pStyle w:val="8"/>
        <w:spacing w:after="0"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auto"/>
          <w:lang w:eastAsia="zh-CN"/>
        </w:rPr>
      </w:pPr>
    </w:p>
    <w:p>
      <w:pPr>
        <w:pStyle w:val="3"/>
        <w:spacing w:line="6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受送达人：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spacing w:line="600" w:lineRule="exact"/>
        <w:ind w:left="0" w:leftChars="0" w:firstLine="960" w:firstLineChars="400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 xml:space="preserve">           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协助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_GBK" w:cs="Times New Roman"/>
          <w:color w:va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_GBK" w:cs="Times New Roman"/>
          <w:color w:val="auto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 w:ascii="Times New Roman" w:hAnsi="Times New Roman" w:eastAsia="方正仿宋_GBK" w:cs="Times New Roman"/>
          <w:color w:val="auto"/>
          <w:u w:val="none" w:color="auto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rPr>
          <w:rFonts w:hint="default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>
      <w:pPr>
        <w:pStyle w:val="3"/>
        <w:tabs>
          <w:tab w:val="left" w:pos="944"/>
        </w:tabs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>询问笔录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三、询问内容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</w:p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仿宋_GBK" w:cs="Times New Roman"/>
          <w:color w:val="auto"/>
          <w:sz w:val="44"/>
          <w:szCs w:val="44"/>
          <w:lang w:eastAsia="zh-CN"/>
        </w:rPr>
        <w:t>情况记录</w:t>
      </w:r>
      <w:r>
        <w:rPr>
          <w:rFonts w:hint="default" w:ascii="Times New Roman" w:hAnsi="Times New Roman" w:eastAsia="方正仿宋_GBK" w:cs="Times New Roman"/>
          <w:color w:val="auto"/>
          <w:sz w:val="44"/>
          <w:szCs w:val="44"/>
        </w:rPr>
        <w:t>表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时  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时  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被检查人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【注意事项】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0"/>
          <w:szCs w:val="30"/>
          <w:u w:val="none"/>
          <w:lang w:val="en-US" w:eastAsia="zh-CN" w:bidi="ar-SA"/>
        </w:rPr>
      </w:pPr>
    </w:p>
    <w:p>
      <w:pPr>
        <w:rPr>
          <w:rFonts w:hint="default" w:ascii="Times New Roman" w:hAnsi="Times New Roman" w:eastAsia="方正仿宋_GBK" w:cs="Times New Roman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lang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40"/>
          <w:szCs w:val="48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698D"/>
    <w:rsid w:val="3CC8720D"/>
    <w:rsid w:val="3E126DAA"/>
    <w:rsid w:val="47DE5C81"/>
    <w:rsid w:val="6DB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4603</Words>
  <Characters>4632</Characters>
  <Lines>0</Lines>
  <Paragraphs>0</Paragraphs>
  <TotalTime>36</TotalTime>
  <ScaleCrop>false</ScaleCrop>
  <LinksUpToDate>false</LinksUpToDate>
  <CharactersWithSpaces>7239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2013-01-24T22:14:00Z</dcterms:created>
  <dc:creator>Administrator</dc:creator>
  <cp:lastModifiedBy>Administrator</cp:lastModifiedBy>
  <dcterms:modified xsi:type="dcterms:W3CDTF">2025-12-09T08:10:47Z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KSOTemplateDocerSaveRecord">
    <vt:lpwstr>eyJoZGlkIjoiZDY0ZDQ5Y2ZjMzY0YjU4YjhkYzllZDVjN2QxYjEzYjIiLCJ1c2VySWQiOiI0NDY4MDIzMjUifQ==</vt:lpwstr>
  </property>
  <property fmtid="{D5CDD505-2E9C-101B-9397-08002B2CF9AE}" pid="4" name="ICV">
    <vt:lpwstr>DE6BB03F286448389B2E44238F8D8266_13</vt:lpwstr>
  </property>
</Properties>
</file>