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道路普通货物运输企业检查表</w:t>
      </w:r>
    </w:p>
    <w:tbl>
      <w:tblPr>
        <w:tblStyle w:val="5"/>
        <w:tblW w:w="879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708"/>
        <w:gridCol w:w="4024"/>
        <w:gridCol w:w="136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99"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事项名称</w:t>
            </w:r>
          </w:p>
        </w:tc>
        <w:tc>
          <w:tcPr>
            <w:tcW w:w="7391"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道路货物运输及站场经营者检查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399"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检查对象</w:t>
            </w:r>
          </w:p>
        </w:tc>
        <w:tc>
          <w:tcPr>
            <w:tcW w:w="7391" w:type="dxa"/>
            <w:gridSpan w:val="3"/>
            <w:vAlign w:val="center"/>
          </w:tcPr>
          <w:tbl>
            <w:tblPr>
              <w:tblStyle w:val="5"/>
              <w:tblpPr w:leftFromText="180" w:rightFromText="180" w:vertAnchor="text" w:horzAnchor="page" w:tblpX="1591" w:tblpY="-15"/>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91" w:type="dxa"/>
                  <w:vAlign w:val="center"/>
                </w:tcPr>
                <w:p>
                  <w:pPr>
                    <w:tabs>
                      <w:tab w:val="center" w:pos="3647"/>
                      <w:tab w:val="left" w:pos="4837"/>
                    </w:tabs>
                    <w:jc w:val="left"/>
                    <w:rPr>
                      <w:rFonts w:hint="eastAsia" w:ascii="方正仿宋_GBK" w:hAnsi="方正仿宋_GBK" w:eastAsia="方正仿宋_GBK" w:cs="方正仿宋_GBK"/>
                      <w:sz w:val="24"/>
                      <w:szCs w:val="24"/>
                      <w:vertAlign w:val="baseline"/>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3357245</wp:posOffset>
                            </wp:positionH>
                            <wp:positionV relativeFrom="paragraph">
                              <wp:posOffset>-5715</wp:posOffset>
                            </wp:positionV>
                            <wp:extent cx="0" cy="445770"/>
                            <wp:effectExtent l="4445" t="0" r="14605" b="11430"/>
                            <wp:wrapNone/>
                            <wp:docPr id="12" name="直接连接符 12"/>
                            <wp:cNvGraphicFramePr/>
                            <a:graphic xmlns:a="http://schemas.openxmlformats.org/drawingml/2006/main">
                              <a:graphicData uri="http://schemas.microsoft.com/office/word/2010/wordprocessingShape">
                                <wps:wsp>
                                  <wps:cNvCnPr/>
                                  <wps:spPr>
                                    <a:xfrm flipV="1">
                                      <a:off x="5471160" y="1963420"/>
                                      <a:ext cx="0"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4.35pt;margin-top:-0.45pt;height:35.1pt;width:0pt;z-index:251660288;mso-width-relative:page;mso-height-relative:page;" filled="f" stroked="t" coordsize="21600,21600" o:gfxdata="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Sz0hX1wAAAAgB&#10;AAAPAAAAAAAAAAEAIAAAACIAAABkcnMvZG93bnJldi54bWxQSwECFAAUAAAACACHTuJAiZLo0+MB&#10;AAB6AwAADgAAAAAAAAABACAAAAAmAQAAZHJzL2Uyb0RvYy54bWxQSwUGAAAAAAYABgBZAQAAewUA&#10;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2490470</wp:posOffset>
                            </wp:positionH>
                            <wp:positionV relativeFrom="paragraph">
                              <wp:posOffset>-5715</wp:posOffset>
                            </wp:positionV>
                            <wp:extent cx="0" cy="419100"/>
                            <wp:effectExtent l="4445" t="0" r="14605" b="0"/>
                            <wp:wrapNone/>
                            <wp:docPr id="13" name="直接连接符 13"/>
                            <wp:cNvGraphicFramePr/>
                            <a:graphic xmlns:a="http://schemas.openxmlformats.org/drawingml/2006/main">
                              <a:graphicData uri="http://schemas.microsoft.com/office/word/2010/wordprocessingShape">
                                <wps:wsp>
                                  <wps:cNvCnPr/>
                                  <wps:spPr>
                                    <a:xfrm flipV="1">
                                      <a:off x="4613910" y="1972945"/>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6.1pt;margin-top:-0.45pt;height:33pt;width:0pt;z-index:251659264;mso-width-relative:page;mso-height-relative:page;" filled="f" stroked="t" coordsize="21600,21600" o:gfxdata="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c8dXXAAAACAEA&#10;AA8AAAAAAAAAAQAgAAAAIgAAAGRycy9kb3ducmV2LnhtbFBLAQIUABQAAAAIAIdO4kC3I8of4gEA&#10;AHoDAAAOAAAAAAAAAAEAIAAAACYBAABkcnMvZTJvRG9jLnhtbFBLBQYAAAAABgAGAFkBAAB6BQAA&#10;AAA=&#10;">
                            <v:fill on="f" focussize="0,0"/>
                            <v:stroke weight="0.5pt" color="#5B9BD5 [3204]" miterlimit="8" joinstyle="miter"/>
                            <v:imagedata o:title=""/>
                            <o:lock v:ext="edit" aspectratio="f"/>
                          </v:line>
                        </w:pict>
                      </mc:Fallback>
                    </mc:AlternateContent>
                  </w:r>
                  <w:r>
                    <w:rPr>
                      <w:rFonts w:hint="eastAsia"/>
                      <w:sz w:val="24"/>
                      <w:lang w:eastAsia="zh-CN"/>
                    </w:rPr>
                    <w:tab/>
                  </w:r>
                  <w:r>
                    <w:rPr>
                      <w:rFonts w:hint="eastAsia"/>
                      <w:sz w:val="24"/>
                      <w:lang w:val="en-US" w:eastAsia="zh-CN"/>
                    </w:rPr>
                    <w:t xml:space="preserve">                </w:t>
                  </w:r>
                  <w:r>
                    <w:rPr>
                      <w:rFonts w:hint="eastAsia" w:ascii="方正仿宋_GBK" w:hAnsi="方正仿宋_GBK" w:eastAsia="方正仿宋_GBK" w:cs="方正仿宋_GBK"/>
                      <w:sz w:val="24"/>
                      <w:szCs w:val="24"/>
                      <w:vertAlign w:val="baseline"/>
                      <w:lang w:eastAsia="zh-CN"/>
                    </w:rPr>
                    <w:t>检查时间</w:t>
                  </w:r>
                </w:p>
              </w:tc>
            </w:tr>
          </w:tbl>
          <w:p>
            <w:pPr>
              <w:jc w:val="center"/>
              <w:rPr>
                <w:rFonts w:hint="eastAsia" w:ascii="方正仿宋_GBK" w:hAnsi="方正仿宋_GBK" w:eastAsia="方正仿宋_GBK" w:cs="方正仿宋_GBK"/>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91"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类型</w:t>
            </w:r>
          </w:p>
        </w:tc>
        <w:tc>
          <w:tcPr>
            <w:tcW w:w="708"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4024"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检查内容</w:t>
            </w:r>
          </w:p>
        </w:tc>
        <w:tc>
          <w:tcPr>
            <w:tcW w:w="136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检查意见</w:t>
            </w:r>
          </w:p>
        </w:tc>
        <w:tc>
          <w:tcPr>
            <w:tcW w:w="2001"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eastAsia="zh-CN"/>
              </w:rPr>
              <w:t>备注</w:t>
            </w:r>
            <w:r>
              <w:rPr>
                <w:rFonts w:hint="eastAsia" w:ascii="方正仿宋_GBK" w:hAnsi="方正仿宋_GBK" w:eastAsia="方正仿宋_GBK" w:cs="方正仿宋_GBK"/>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经营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从事道路运输经营的，检查是否具有有效的道路运输经营许可证</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抽查车辆是否具有道路运输证，不存在失效、伪造、变造、被注销等无效情形，是否按照规定参加年度审验</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人员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抽查从业人员是否具有相应的从业资格证明</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6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车辆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管理</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车辆综合性能检测周期是否符合《道路运输车辆技术管理规定》的要求；检查车辆技术等级是否符合规定要求</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道路运输经营者是否按照规定维护、检测运输车辆，并做好记录；</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是否建立车辆技术档案，且及时更新、记录详实；是否具有且符合规定，是否按照“ 一车一 档”建立了车辆技术档案，档案内容是否齐全，抽查车辆最近 技术档案</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抽查道路运输经营者是否使用报废、擅自改装、拼装、检测不合格以及其他不符合国家规定的车辆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运营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服务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是否按规定对运营车辆进行进出车安全检查</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是否建立运输客户身份、物品信息登记制度，是否有详实的货主信息记录</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10</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道路货物运输经营者是否采取不正当手段招揽货物</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6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动态</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监控</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是否按规定配备了专职的监控人员、建立监控登记台账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12</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抽查企业正在运营的车辆是否均已上线，是否存在卫星定位装置故障但仍在运营的车辆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是否使用符合标准的监控平台，且监控平台接入联网联控系统、并按规定上传道路运输车辆动态信息</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14</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抽查近期卫星定位系统平台中记录的各类违法违规报警信息的处理记录，核查处理率是否达到90%以上，并记录存档至动态监控台账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生产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生产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是否有健全的安全生产管理制度，包括安全生产操作规程、安全生产责任制、安全生产监督检查、驾驶人员和车辆安全生产管理的制度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是否设置安全生产管理机构或者配备安全生产管理人员</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是否按规定对从业人员开展安全生产教 育培训，并如实记录安全生产教育和培训情况；核查驾驶员每月参加教育培训时间是否符合要求，是否按期参加继续教育</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企业是否对交通违法行为多发及发生交通事故的驾驶员进行针对性的教育培训</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是否开展宣贯学习习近平总书记关于安全生产重要论述、重要指示批示精神；是否开展重特大典型事故警示教育</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20</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是否按照规定制定应急预案，并定期组织演练；是否储备必要的应急救援物资、装备，建立应急救援队</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是否建立健全事故隐患排查治理制度，及时发现并消除事故隐患，并如实记录事故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隐患排查治理情况</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22</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一）未取得经营许可或未按规定进行备案从事经营活动，或超出许可（备案）事项和有效期经营的；（二）使用报废、擅自改装、拼装、检验检测不合格（含未在有效期内）以及其他不符合国家规定的车辆装备、设施设备等从事经营活动的；（三）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四）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五）按法律法规和规章规定，其他应当判定为重大事故隐患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（一）所属货运车辆故意夹带危险货物或违规运输禁运、限运物品，且运输过程中未及时提醒纠正、运输行为结束后一个月内未严肃处理的；（二）所属货运车辆运输过程中违法装载导致车货总质量超过100吨的。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要求</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1.发现存在违法行为，执法人员应予以制止和纠正，并采取照相、录音、录像以及法律允许的其他调查手段；</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2.对违法行为进行调查取证，按照《交通运输行政执法程序规定》实施行政处罚。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0" w:hRule="atLeast"/>
        </w:trPr>
        <w:tc>
          <w:tcPr>
            <w:tcW w:w="69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记录</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检查人员签字：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691"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执法</w:t>
            </w:r>
          </w:p>
          <w:p>
            <w:pPr>
              <w:jc w:val="center"/>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sz w:val="24"/>
                <w:szCs w:val="24"/>
                <w:vertAlign w:val="baseline"/>
                <w:lang w:eastAsia="zh-CN"/>
              </w:rPr>
              <w:t>依据</w:t>
            </w:r>
          </w:p>
        </w:tc>
        <w:tc>
          <w:tcPr>
            <w:tcW w:w="8099" w:type="dxa"/>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1.《中华人民共和国道路运输条例》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2.《新疆维吾尔自治区道路运输管理条例》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3.《道路运输车辆技术管理规定》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4.《道路运输从业人员管理规定》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5.《道路运输车辆动态监督管理办法》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6.《中华人民共和国安全生产法》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ascii="方正仿宋_GBK" w:hAnsi="方正仿宋_GBK" w:eastAsia="方正仿宋_GBK" w:cs="方正仿宋_GBK"/>
                <w:color w:val="000000"/>
                <w:kern w:val="2"/>
                <w:sz w:val="21"/>
                <w:szCs w:val="21"/>
                <w:lang w:val="en-US" w:eastAsia="zh-CN" w:bidi="ar-SA"/>
              </w:rPr>
              <w:t>7.《道路货物运输及站场管理规定》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8.交通运输部《道路运输企业和城市客运企业安全生产重大事故隐患判定标准（试行）》</w:t>
            </w:r>
          </w:p>
          <w:p>
            <w:pPr>
              <w:pStyle w:val="2"/>
              <w:keepNext/>
              <w:keepLines/>
              <w:pageBreakBefore w:val="0"/>
              <w:widowControl w:val="0"/>
              <w:kinsoku/>
              <w:wordWrap/>
              <w:overflowPunct/>
              <w:topLinePunct w:val="0"/>
              <w:autoSpaceDE/>
              <w:autoSpaceDN/>
              <w:bidi w:val="0"/>
              <w:adjustRightInd/>
              <w:snapToGrid/>
              <w:spacing w:before="0" w:after="0" w:line="413" w:lineRule="auto"/>
              <w:textAlignment w:val="auto"/>
              <w:rPr>
                <w:rFonts w:hint="default"/>
                <w:lang w:val="en-US" w:eastAsia="zh-CN"/>
              </w:rPr>
            </w:pPr>
            <w:r>
              <w:rPr>
                <w:rFonts w:hint="eastAsia" w:ascii="方正仿宋_GBK" w:hAnsi="方正仿宋_GBK" w:eastAsia="方正仿宋_GBK" w:cs="方正仿宋_GBK"/>
                <w:color w:val="000000"/>
                <w:kern w:val="2"/>
                <w:sz w:val="21"/>
                <w:szCs w:val="21"/>
                <w:lang w:val="en-US" w:eastAsia="zh-CN" w:bidi="ar-SA"/>
              </w:rPr>
              <w:t>9.公路运营领域重大事故隐患判定标准</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4F6CFE"/>
    <w:rsid w:val="04A7036B"/>
    <w:rsid w:val="0CA17E38"/>
    <w:rsid w:val="11662553"/>
    <w:rsid w:val="131D1A7B"/>
    <w:rsid w:val="140B4C95"/>
    <w:rsid w:val="16D66658"/>
    <w:rsid w:val="1F872A3F"/>
    <w:rsid w:val="2A705AFC"/>
    <w:rsid w:val="2B172427"/>
    <w:rsid w:val="2CF73D5A"/>
    <w:rsid w:val="2FCA77AF"/>
    <w:rsid w:val="3DE97A9A"/>
    <w:rsid w:val="465C7426"/>
    <w:rsid w:val="488F0592"/>
    <w:rsid w:val="4D32215F"/>
    <w:rsid w:val="4E615128"/>
    <w:rsid w:val="534F6CFE"/>
    <w:rsid w:val="6A5B1A51"/>
    <w:rsid w:val="6EDE6E25"/>
    <w:rsid w:val="71406F86"/>
    <w:rsid w:val="73E22AF1"/>
    <w:rsid w:val="747A7FA1"/>
    <w:rsid w:val="76B746F8"/>
    <w:rsid w:val="7DC76A29"/>
    <w:rsid w:val="7F7A2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6</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2023-01-28T09:58:00Z</dcterms:created>
  <dc:creator>Asus</dc:creator>
  <cp:lastModifiedBy>Administrator</cp:lastModifiedBy>
  <dcterms:modified xsi:type="dcterms:W3CDTF">2025-08-21T03:44:04Z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B8E3E9B89FA2493384096044DE641E32_12</vt:lpwstr>
  </property>
</Properties>
</file>