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bookmarkStart w:id="0" w:name="_GoBack"/>
      <w:bookmarkEnd w:id="0"/>
      <w:r>
        <w:rPr>
          <w:rFonts w:hint="eastAsia" w:ascii="方正小标宋_GBK" w:hAnsi="方正小标宋_GBK" w:eastAsia="方正小标宋_GBK" w:cs="方正小标宋_GBK"/>
          <w:sz w:val="44"/>
          <w:szCs w:val="44"/>
          <w:lang w:eastAsia="zh-CN"/>
        </w:rPr>
        <w:t>道路危险货物运输企业检查表</w:t>
      </w:r>
    </w:p>
    <w:tbl>
      <w:tblPr>
        <w:tblStyle w:val="5"/>
        <w:tblW w:w="8835"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708"/>
        <w:gridCol w:w="4024"/>
        <w:gridCol w:w="1366"/>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事项名称</w:t>
            </w:r>
          </w:p>
        </w:tc>
        <w:tc>
          <w:tcPr>
            <w:tcW w:w="7391" w:type="dxa"/>
            <w:gridSpan w:val="3"/>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道路危险货物运输经营者检查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44" w:type="dxa"/>
            <w:gridSpan w:val="2"/>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检查对象</w:t>
            </w:r>
          </w:p>
        </w:tc>
        <w:tc>
          <w:tcPr>
            <w:tcW w:w="7391" w:type="dxa"/>
            <w:gridSpan w:val="3"/>
            <w:vAlign w:val="center"/>
          </w:tcPr>
          <w:tbl>
            <w:tblPr>
              <w:tblStyle w:val="5"/>
              <w:tblpPr w:leftFromText="180" w:rightFromText="180" w:vertAnchor="text" w:horzAnchor="page" w:tblpX="1591" w:tblpY="-15"/>
              <w:tblOverlap w:val="never"/>
              <w:tblW w:w="8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391" w:type="dxa"/>
                  <w:vAlign w:val="center"/>
                </w:tcPr>
                <w:p>
                  <w:pPr>
                    <w:tabs>
                      <w:tab w:val="center" w:pos="3647"/>
                      <w:tab w:val="left" w:pos="4837"/>
                    </w:tabs>
                    <w:jc w:val="left"/>
                    <w:rPr>
                      <w:rFonts w:hint="eastAsia" w:ascii="方正仿宋_GBK" w:hAnsi="方正仿宋_GBK" w:eastAsia="方正仿宋_GBK" w:cs="方正仿宋_GBK"/>
                      <w:sz w:val="24"/>
                      <w:szCs w:val="24"/>
                      <w:vertAlign w:val="baseline"/>
                      <w:lang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3357245</wp:posOffset>
                            </wp:positionH>
                            <wp:positionV relativeFrom="paragraph">
                              <wp:posOffset>-5715</wp:posOffset>
                            </wp:positionV>
                            <wp:extent cx="0" cy="445770"/>
                            <wp:effectExtent l="4445" t="0" r="14605" b="11430"/>
                            <wp:wrapNone/>
                            <wp:docPr id="16" name="直接连接符 16"/>
                            <wp:cNvGraphicFramePr/>
                            <a:graphic xmlns:a="http://schemas.openxmlformats.org/drawingml/2006/main">
                              <a:graphicData uri="http://schemas.microsoft.com/office/word/2010/wordprocessingShape">
                                <wps:wsp>
                                  <wps:cNvCnPr/>
                                  <wps:spPr>
                                    <a:xfrm flipV="1">
                                      <a:off x="5471160" y="1963420"/>
                                      <a:ext cx="0"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264.35pt;margin-top:-0.45pt;height:35.1pt;width:0pt;z-index:251660288;mso-width-relative:page;mso-height-relative:page;" filled="f" stroked="t" coordsize="21600,21600" o:gfxdata="UEsDBAoAAAAAAIdO4kAAAAAAAAAAAAAAAAAEAAAAZHJzL1BLAwQUAAAACACHTuJAEs9IV9cAAAAI&#10;AQAADwAAAGRycy9kb3ducmV2LnhtbE2PwU7DMBBE70j8g7VI3FqnRZQ2ZFMhJJAqyIHQA9xce3EC&#10;8TqK3Tb8Pa44wHE0o5k3xXp0nTjQEFrPCLNpBoJYe9OyRdi+PkyWIEJUbFTnmRC+KcC6PD8rVG78&#10;kV/oUEcrUgmHXCE0Mfa5lEE35FSY+p44eR9+cComOVhpBnVM5a6T8yxbSKdaTguN6um+If1V7x3C&#10;WOkN2fr5zlXbpzf9+Vht7HtEvLyYZbcgIo3xLwwn/IQOZWLa+T2bIDqE6/nyJkURJisQyf/VO4TF&#10;6gpkWcj/B8ofUEsDBBQAAAAIAIdO4kA9d8hJ/gEAAMgDAAAOAAAAZHJzL2Uyb0RvYy54bWytU0uO&#10;EzEQ3SNxB8t70p1MPjOtdEaaiYYNgkh89o7b7rbkn1yedHIJLoDEDlYs2XMbhmNQdjcDDJtZ0Aur&#10;7Cq/qvf8en15NJocRADlbE2nk5ISYblrlG1r+vbNzbNzSiAy2zDtrKjpSQC93Dx9su59JWauc7oR&#10;gSCIhar3Ne1i9FVRAO+EYTBxXlhMShcMi7gNbdEE1iO60cWsLJdF70Ljg+MCAE+3Q5KOiOExgE5K&#10;xcXW8VsjbBxQg9AsIiXolAe6ydNKKXh8JSWISHRNkWnMKzbBeJ/WYrNmVRuY7xQfR2CPGeEBJ8OU&#10;xab3UFsWGbkN6h8oo3hw4GSccGeKgUhWBFlMywfavO6YF5kLSg3+XnT4f7D85WEXiGrQCUtKLDP4&#10;4ncfvn5//+nHt4+43n35TDCDMvUeKqy+trsw7sDvQuJ8lMEQqZV/hyhZBeRFjjVdzFfT6RKlPmHi&#10;Ynk2n42Ci2MkHAswxTE3ny9Wq5wqBrSE6gPE58IZkoKaamWTFKxihxcQcQIs/VWSjq27UVrn59SW&#10;9DVdni0SPEOLSrQGhsYjTbAtJUy36H0eQ0YEp1WTbiccCO3+WgdyYOiYxdXF1XaR2GO3v8pS6y2D&#10;bqjLqcFLRkX8PbQyNT0v0zfe1hZBkoaDainau+aUxczn+MC5zWjG5KA/9/n27x9w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z0hX1wAAAAgBAAAPAAAAAAAAAAEAIAAAACIAAABkcnMvZG93bnJl&#10;di54bWxQSwECFAAUAAAACACHTuJAPXfISf4BAADIAwAADgAAAAAAAAABACAAAAAmAQAAZHJzL2Uy&#10;b0RvYy54bWxQSwUGAAAAAAYABgBZAQAAlgUAAAAA&#10;">
                            <v:fill on="f" focussize="0,0"/>
                            <v:stroke weight="0.5pt" color="#5B9BD5 [3204]" miterlimit="8" joinstyle="miter"/>
                            <v:imagedata o:title=""/>
                            <o:lock v:ext="edit" aspectratio="f"/>
                          </v:lin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2490470</wp:posOffset>
                            </wp:positionH>
                            <wp:positionV relativeFrom="paragraph">
                              <wp:posOffset>-5715</wp:posOffset>
                            </wp:positionV>
                            <wp:extent cx="0" cy="419100"/>
                            <wp:effectExtent l="4445" t="0" r="14605" b="0"/>
                            <wp:wrapNone/>
                            <wp:docPr id="17" name="直接连接符 17"/>
                            <wp:cNvGraphicFramePr/>
                            <a:graphic xmlns:a="http://schemas.openxmlformats.org/drawingml/2006/main">
                              <a:graphicData uri="http://schemas.microsoft.com/office/word/2010/wordprocessingShape">
                                <wps:wsp>
                                  <wps:cNvCnPr/>
                                  <wps:spPr>
                                    <a:xfrm flipV="1">
                                      <a:off x="4613910" y="1972945"/>
                                      <a:ext cx="0" cy="419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96.1pt;margin-top:-0.45pt;height:33pt;width:0pt;z-index:251659264;mso-width-relative:page;mso-height-relative:page;" filled="f" stroked="t" coordsize="21600,21600" o:gfxdata="UEsDBAoAAAAAAIdO4kAAAAAAAAAAAAAAAAAEAAAAZHJzL1BLAwQUAAAACACHTuJA+pzx1dcAAAAI&#10;AQAADwAAAGRycy9kb3ducmV2LnhtbE2PQUvDQBSE74L/YXmCt3aTiMWmeSkiKBTNobEHe9tmn5to&#10;9m3Ibtv4713xoMdhhplvivVke3Gi0XeOEdJ5AoK4cbpjg7B7fZzdgfBBsVa9Y0L4Ig/r8vKiULl2&#10;Z97SqQ5GxBL2uUJoQxhyKX3TklV+7gbi6L270aoQ5WikHtU5ltteZkmykFZ1HBdaNdBDS81nfbQI&#10;U9VsyNQv97baPb81H0/VxuwD4vVVmqxABJrCXxh+8CM6lJHp4I6svegRbpZZFqMIsyWI6P/qA8Li&#10;NgVZFvL/gfIbUEsDBBQAAAAIAIdO4kADxuqF/wEAAMgDAAAOAAAAZHJzL2Uyb0RvYy54bWytU82O&#10;0zAQviPxDpbvNEm37W6jpivtVssFQSV+7q5jJ5b8J4+3aV+CF0DiBieO3Hkblsdg7JQFlsseyMEZ&#10;z4y/me/zeHV5MJrsRQDlbEOrSUmJsNy1ynYNffvm5tkFJRCZbZl2VjT0KIBerp8+WQ2+FlPXO92K&#10;QBDEQj34hvYx+roogPfCMJg4LywGpQuGRdyGrmgDGxDd6GJaloticKH1wXEBgN7NGKQnxPAYQCel&#10;4mLj+K0RNo6oQWgWkRL0ygNd526lFDy+khJEJLqhyDTmFYugvUtrsV6xugvM94qfWmCPaeEBJ8OU&#10;xaL3UBsWGbkN6h8oo3hw4GSccGeKkUhWBFlU5QNtXvfMi8wFpQZ/Lzr8P1j+cr8NRLU4CeeUWGbw&#10;xu8+fP3+/tOPbx9xvfvymWAEZRo81Jh9bbfhtAO/DYnzQQZDpFb+HaJkFZAXOTR0tqjOlhVKfcTA&#10;8ny6nM1HwcUhEo4JGOIYm1WYle+iGNESqg8QnwtnSDIaqpVNUrCa7V9AxA4w9VdKclt3o7TO16kt&#10;GRq6OJsneIYjKnE00DQeaYLtKGG6w9nnMWREcFq16XTCgdDtrnUge4YTM79aXm1yz1jtr7RUesOg&#10;H/NyaKRmVMTnoZVp6EWZvuTG09riL2k4qpasnWuPWczsxwvOiadhTBP05z6f/v0A1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zx1dcAAAAIAQAADwAAAAAAAAABACAAAAAiAAAAZHJzL2Rvd25y&#10;ZXYueG1sUEsBAhQAFAAAAAgAh07iQAPG6oX/AQAAyAMAAA4AAAAAAAAAAQAgAAAAJgEAAGRycy9l&#10;Mm9Eb2MueG1sUEsFBgAAAAAGAAYAWQEAAJcFAAAAAA==&#10;">
                            <v:fill on="f" focussize="0,0"/>
                            <v:stroke weight="0.5pt" color="#5B9BD5 [3204]" miterlimit="8" joinstyle="miter"/>
                            <v:imagedata o:title=""/>
                            <o:lock v:ext="edit" aspectratio="f"/>
                          </v:line>
                        </w:pict>
                      </mc:Fallback>
                    </mc:AlternateContent>
                  </w:r>
                  <w:r>
                    <w:rPr>
                      <w:rFonts w:hint="eastAsia"/>
                      <w:sz w:val="24"/>
                      <w:lang w:eastAsia="zh-CN"/>
                    </w:rPr>
                    <w:tab/>
                  </w:r>
                  <w:r>
                    <w:rPr>
                      <w:rFonts w:hint="eastAsia"/>
                      <w:sz w:val="24"/>
                      <w:lang w:val="en-US" w:eastAsia="zh-CN"/>
                    </w:rPr>
                    <w:t xml:space="preserve">                </w:t>
                  </w:r>
                  <w:r>
                    <w:rPr>
                      <w:rFonts w:hint="eastAsia" w:ascii="方正仿宋_GBK" w:hAnsi="方正仿宋_GBK" w:eastAsia="方正仿宋_GBK" w:cs="方正仿宋_GBK"/>
                      <w:sz w:val="24"/>
                      <w:szCs w:val="24"/>
                      <w:vertAlign w:val="baseline"/>
                      <w:lang w:eastAsia="zh-CN"/>
                    </w:rPr>
                    <w:t>检查时间</w:t>
                  </w:r>
                </w:p>
              </w:tc>
            </w:tr>
          </w:tbl>
          <w:p>
            <w:pPr>
              <w:jc w:val="center"/>
              <w:rPr>
                <w:rFonts w:hint="eastAsia" w:ascii="方正仿宋_GBK" w:hAnsi="方正仿宋_GBK" w:eastAsia="方正仿宋_GBK" w:cs="方正仿宋_GBK"/>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3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类型</w:t>
            </w:r>
          </w:p>
        </w:tc>
        <w:tc>
          <w:tcPr>
            <w:tcW w:w="708"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4024"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检查内容</w:t>
            </w:r>
          </w:p>
        </w:tc>
        <w:tc>
          <w:tcPr>
            <w:tcW w:w="1366" w:type="dxa"/>
            <w:vAlign w:val="center"/>
          </w:tcPr>
          <w:p>
            <w:pPr>
              <w:jc w:val="center"/>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检查意见</w:t>
            </w:r>
          </w:p>
        </w:tc>
        <w:tc>
          <w:tcPr>
            <w:tcW w:w="2001" w:type="dxa"/>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eastAsia="zh-CN"/>
              </w:rPr>
              <w:t>备注</w:t>
            </w:r>
            <w:r>
              <w:rPr>
                <w:rFonts w:hint="eastAsia" w:ascii="方正仿宋_GBK" w:hAnsi="方正仿宋_GBK" w:eastAsia="方正仿宋_GBK" w:cs="方正仿宋_GBK"/>
                <w:sz w:val="24"/>
                <w:szCs w:val="24"/>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7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经营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是否具有道路危险货物运输许可证，不存在失效、伪造、变造、被注销等无效情形</w:t>
            </w:r>
          </w:p>
        </w:tc>
        <w:tc>
          <w:tcPr>
            <w:tcW w:w="136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抽查车辆是否具有道路运输证，且不存在 失效、伪造、变造、被注销等无效情形，是否按照规定参加年度审验</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资质</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抽查危险货物道路运输驾驶人员、押运人 员、装卸管理人员是否持有有效的从业资格证</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抽查电子运单上载明的驾驶人员、押运人 员、装卸管理人员等信息是否与实际相符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7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管理</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是否按照规定的周期和频次进行车辆综合 性能检测和技术等级评定</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道路运输经营者是否做好车辆维护记录；抽查车辆最近1年的技术档案，是否具有且符合规定，是否按照“ 一车一 档”建立了车辆技术档案，档案内容是否齐全</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管理</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抽查是否使用报废、擅自改装、拼装 、检 测不合格以及其他不符合国家规定的车辆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车辆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管理</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是否使用符合标准的监控平台，且监控平台接入联网联控系统、并按规定上传道路运输车辆动态信息的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抽查近期卫星定位系统平台中记录的各类违法违规报警信息的处理记录，核查处理率是否达到90%以上，并记录存档至动态监控台账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10</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抽查企业正在运营的车辆是否均已上线，是否存在卫星定位装置故障但仍在运营的车辆</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trPr>
        <w:tc>
          <w:tcPr>
            <w:tcW w:w="736"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安全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生产</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11</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是否有健全的安全生产管理制度，包括安全生产操作规程、安全生产责任制、安全生产监督检查、动态监控管理、事故隐患排查治理、驾驶人员和车辆安全生产管理的制度；是否配备安全生产管理人员</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13</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是否制定年度安全生产教育和培训计划， 并通过现场抽查的方式，检查企业是否按 照培训计划开展培训工作</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14</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是否开展宣贯学习习近平总书记关于安全生产重要论述、重要指示批示精神；是否开展重特大典型事故警示教育</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15</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企业是否对交通违法行为多发及发生交通事故的驾驶员进行针对性的教育培训</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16</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是否按照规定制定应急预案，并至少每半年组织1次应急救援预案演练</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17</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是否建立健全事故隐患排查治理制度，及时发现并消除事故隐患，并如实记录事故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隐患排查治理情况</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18</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危险化学品运输企业是否建立健全并严格执行充装或者装载查验、记录制度</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□符合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□整改</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19</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未取得经营许可或未按规定进行备案从事经营活动，或超出许可（备案）事项和有效期经营的；（二）使用报废、擅自改装、拼装、检验检测不合格（含未在有效期内）以及其他不符合国家规定的车辆装备、设施设备等从事经营活动的；（三）所属经营性驾驶员和车辆存在长期“三超一疲劳”（超速、超员、超载、疲劳驾驶）且运输过程中未及时提醒纠正、运输行为结束后一个月内未严肃处理，或所属经营性驾驶员存在一次计10分及以上诚信考核计分情形且未严肃处理仍继续安排上岗作业的；（四）经营地或运营线路途经地已发布台风橙色及以上预警，暴雨、暴雪、冰雹、大雾、沙尘暴、大风、道路结冰红色预警，或地质灾害气象风险红色预警等不具备安全通行条件时，未执行政府部门停运指令或企业应急预案要求仍擅自安排运输作业的；（五）按法律法规和规章规定，其他应当判定为重大事故隐患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重大事故隐患判定</w:t>
            </w:r>
          </w:p>
        </w:tc>
        <w:tc>
          <w:tcPr>
            <w:tcW w:w="70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default"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20</w:t>
            </w:r>
          </w:p>
        </w:tc>
        <w:tc>
          <w:tcPr>
            <w:tcW w:w="40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一）运输危险货物过程中包装容器损坏、泄漏的；（二）所属常压液体罐车罐体运输介质超出适装介质范围，或超过核定载质量载运危险货物的；（三）所属危险货物运输车辆未按规定采取相关安全防护措施的；（四）所属运输剧毒化学品、爆炸品的专用车辆及罐式专用车辆（含罐式挂车）在消除危险货物的危害前，到不具备危货车辆维修条件的维修企业进行维修的。</w:t>
            </w:r>
          </w:p>
        </w:tc>
        <w:tc>
          <w:tcPr>
            <w:tcW w:w="13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□不存在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□存在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□处罚</w:t>
            </w:r>
          </w:p>
        </w:tc>
        <w:tc>
          <w:tcPr>
            <w:tcW w:w="20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0" w:hRule="atLeast"/>
        </w:trPr>
        <w:tc>
          <w:tcPr>
            <w:tcW w:w="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记录</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3780" w:firstLineChars="1800"/>
              <w:jc w:val="both"/>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检查人员签字：</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 xml:space="preserve">                                    时间：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736"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执法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依据</w:t>
            </w:r>
          </w:p>
        </w:tc>
        <w:tc>
          <w:tcPr>
            <w:tcW w:w="8099"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1.《道路货物运输及站场管理规定》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2.《中华人民共和国道路运输条例》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3.《道路危险货物运输管理规定》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4.《新疆维吾尔自治区道路运输条例》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5.《危险化学品安全管理条例》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6.《道路运输从业人员管理规定》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7.《中华人民共和国安全生产法》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8.《危险货物道路运输安全管理办法》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9.《道路运输车辆动态监督管理办法》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方正仿宋_GBK" w:hAnsi="方正仿宋_GBK" w:eastAsia="方正仿宋_GBK" w:cs="方正仿宋_GBK"/>
                <w:color w:val="000000"/>
                <w:kern w:val="2"/>
                <w:sz w:val="21"/>
                <w:szCs w:val="21"/>
                <w:lang w:val="en-US" w:eastAsia="zh-CN" w:bidi="ar-SA"/>
              </w:rPr>
            </w:pPr>
            <w:r>
              <w:rPr>
                <w:rFonts w:hint="eastAsia" w:ascii="方正仿宋_GBK" w:hAnsi="方正仿宋_GBK" w:eastAsia="方正仿宋_GBK" w:cs="方正仿宋_GBK"/>
                <w:color w:val="000000"/>
                <w:kern w:val="2"/>
                <w:sz w:val="21"/>
                <w:szCs w:val="21"/>
                <w:lang w:val="en-US" w:eastAsia="zh-CN" w:bidi="ar-SA"/>
              </w:rPr>
              <w:t>10.《道路运输车辆技术管理规定》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ascii="方正仿宋_GBK" w:hAnsi="方正仿宋_GBK" w:eastAsia="方正仿宋_GBK" w:cs="方正仿宋_GBK"/>
                <w:color w:val="000000"/>
                <w:kern w:val="2"/>
                <w:sz w:val="21"/>
                <w:szCs w:val="21"/>
                <w:lang w:val="en-US" w:eastAsia="zh-CN" w:bidi="ar-SA"/>
              </w:rPr>
              <w:t>11.交通运输部《道路运输企业和城市客运企业安全生产重大事故隐患判定标准（试行）》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3702F"/>
    <w:rsid w:val="08B34759"/>
    <w:rsid w:val="0EC87B25"/>
    <w:rsid w:val="1F872A3F"/>
    <w:rsid w:val="24385B5D"/>
    <w:rsid w:val="2ADA51FB"/>
    <w:rsid w:val="2C4D0480"/>
    <w:rsid w:val="39C96C8D"/>
    <w:rsid w:val="3DF710FE"/>
    <w:rsid w:val="44DA7ABD"/>
    <w:rsid w:val="479644A4"/>
    <w:rsid w:val="58247912"/>
    <w:rsid w:val="59E3702F"/>
    <w:rsid w:val="67C66BC2"/>
    <w:rsid w:val="77A67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Office_12.8.2.16984_F1E327BC-269C-435d-A152-05C5408002CA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2023-01-28T09:56:00Z</dcterms:created>
  <dc:creator>Asus</dc:creator>
  <cp:lastModifiedBy>Administrator</cp:lastModifiedBy>
  <dcterms:modified xsi:type="dcterms:W3CDTF">2026-03-25T03:54:58Z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2052-12.8.2.16984</vt:lpwstr>
  </property>
  <property fmtid="{D5CDD505-2E9C-101B-9397-08002B2CF9AE}" pid="3" name="ICV">
    <vt:lpwstr>72F12E2F641B4C8A8C01CFF6FFD89740_12</vt:lpwstr>
  </property>
</Properties>
</file>