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机动车维修企业</w:t>
      </w:r>
      <w:r>
        <w:rPr>
          <w:rFonts w:hint="eastAsia" w:ascii="方正小标宋_GBK" w:hAnsi="方正小标宋_GBK" w:eastAsia="方正小标宋_GBK" w:cs="方正小标宋_GBK"/>
          <w:sz w:val="44"/>
          <w:szCs w:val="44"/>
          <w:lang w:eastAsia="zh-CN"/>
        </w:rPr>
        <w:t>检查表</w:t>
      </w:r>
    </w:p>
    <w:tbl>
      <w:tblPr>
        <w:tblStyle w:val="6"/>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8"/>
        <w:gridCol w:w="4024"/>
        <w:gridCol w:w="1366"/>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44" w:type="dxa"/>
            <w:gridSpan w:val="2"/>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事项名称</w:t>
            </w:r>
          </w:p>
        </w:tc>
        <w:tc>
          <w:tcPr>
            <w:tcW w:w="7391" w:type="dxa"/>
            <w:gridSpan w:val="3"/>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机动车维修经营者检查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544" w:type="dxa"/>
            <w:gridSpan w:val="2"/>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检查对象</w:t>
            </w:r>
          </w:p>
        </w:tc>
        <w:tc>
          <w:tcPr>
            <w:tcW w:w="7391" w:type="dxa"/>
            <w:gridSpan w:val="3"/>
            <w:vAlign w:val="center"/>
          </w:tcPr>
          <w:tbl>
            <w:tblPr>
              <w:tblStyle w:val="6"/>
              <w:tblpPr w:leftFromText="180" w:rightFromText="180" w:vertAnchor="text" w:horzAnchor="page" w:tblpX="1591" w:tblpY="-15"/>
              <w:tblOverlap w:val="never"/>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391" w:type="dxa"/>
                  <w:vAlign w:val="center"/>
                </w:tcPr>
                <w:p>
                  <w:pPr>
                    <w:tabs>
                      <w:tab w:val="center" w:pos="3647"/>
                      <w:tab w:val="left" w:pos="4837"/>
                    </w:tabs>
                    <w:jc w:val="left"/>
                    <w:rPr>
                      <w:rFonts w:hint="eastAsia" w:ascii="方正仿宋_GBK" w:hAnsi="方正仿宋_GBK" w:eastAsia="方正仿宋_GBK" w:cs="方正仿宋_GBK"/>
                      <w:sz w:val="24"/>
                      <w:szCs w:val="24"/>
                      <w:vertAlign w:val="baseline"/>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3357245</wp:posOffset>
                            </wp:positionH>
                            <wp:positionV relativeFrom="paragraph">
                              <wp:posOffset>-5715</wp:posOffset>
                            </wp:positionV>
                            <wp:extent cx="0" cy="445770"/>
                            <wp:effectExtent l="4445" t="0" r="14605" b="11430"/>
                            <wp:wrapNone/>
                            <wp:docPr id="11" name="直接连接符 11"/>
                            <wp:cNvGraphicFramePr/>
                            <a:graphic xmlns:a="http://schemas.openxmlformats.org/drawingml/2006/main">
                              <a:graphicData uri="http://schemas.microsoft.com/office/word/2010/wordprocessingShape">
                                <wps:wsp>
                                  <wps:cNvCnPr/>
                                  <wps:spPr>
                                    <a:xfrm flipV="1">
                                      <a:off x="5471160" y="1963420"/>
                                      <a:ext cx="0" cy="445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4.35pt;margin-top:-0.45pt;height:35.1pt;width:0pt;z-index:251661312;mso-width-relative:page;mso-height-relative:page;" filled="f" stroked="t" coordsize="21600,21600" o:gfxdata="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Sz0hX1wAAAAgB&#10;AAAPAAAAAAAAAAEAIAAAACIAAABkcnMvZG93bnJldi54bWxQSwECFAAUAAAACACHTuJAoxbgruMB&#10;AAB6AwAADgAAAAAAAAABACAAAAAmAQAAZHJzL2Uyb0RvYy54bWxQSwUGAAAAAAYABgBZAQAAewUA&#10;AAAA&#10;">
                            <v:fill on="f" focussize="0,0"/>
                            <v:stroke weight="0.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2480945</wp:posOffset>
                            </wp:positionH>
                            <wp:positionV relativeFrom="paragraph">
                              <wp:posOffset>3810</wp:posOffset>
                            </wp:positionV>
                            <wp:extent cx="0" cy="419100"/>
                            <wp:effectExtent l="4445" t="0" r="14605" b="0"/>
                            <wp:wrapNone/>
                            <wp:docPr id="10" name="直接连接符 10"/>
                            <wp:cNvGraphicFramePr/>
                            <a:graphic xmlns:a="http://schemas.openxmlformats.org/drawingml/2006/main">
                              <a:graphicData uri="http://schemas.microsoft.com/office/word/2010/wordprocessingShape">
                                <wps:wsp>
                                  <wps:cNvCnPr/>
                                  <wps:spPr>
                                    <a:xfrm flipV="1">
                                      <a:off x="4613910" y="1972945"/>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95.35pt;margin-top:0.3pt;height:33pt;width:0pt;z-index:251660288;mso-width-relative:page;mso-height-relative:page;" filled="f" stroked="t" coordsize="21600,21600" o:gfxdata="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REA8H0wAAAAcBAAAPAAAA&#10;AAAAAAEAIAAAACIAAABkcnMvZG93bnJldi54bWxQSwECFAAUAAAACACHTuJAnafCYuEBAAB6AwAA&#10;DgAAAAAAAAABACAAAAAiAQAAZHJzL2Uyb0RvYy54bWxQSwUGAAAAAAYABgBZAQAAdQUAAAAA&#10;">
                            <v:fill on="f" focussize="0,0"/>
                            <v:stroke weight="0.5pt" color="#5B9BD5 [3204]" miterlimit="8" joinstyle="miter"/>
                            <v:imagedata o:title=""/>
                            <o:lock v:ext="edit" aspectratio="f"/>
                          </v:line>
                        </w:pict>
                      </mc:Fallback>
                    </mc:AlternateContent>
                  </w:r>
                  <w:r>
                    <w:rPr>
                      <w:rFonts w:hint="eastAsia"/>
                      <w:sz w:val="24"/>
                      <w:lang w:eastAsia="zh-CN"/>
                    </w:rPr>
                    <w:tab/>
                  </w:r>
                  <w:r>
                    <w:rPr>
                      <w:rFonts w:hint="eastAsia"/>
                      <w:sz w:val="24"/>
                      <w:lang w:val="en-US" w:eastAsia="zh-CN"/>
                    </w:rPr>
                    <w:t xml:space="preserve">                </w:t>
                  </w:r>
                  <w:r>
                    <w:rPr>
                      <w:rFonts w:hint="eastAsia" w:ascii="方正仿宋_GBK" w:hAnsi="方正仿宋_GBK" w:eastAsia="方正仿宋_GBK" w:cs="方正仿宋_GBK"/>
                      <w:sz w:val="24"/>
                      <w:szCs w:val="24"/>
                      <w:vertAlign w:val="baseline"/>
                      <w:lang w:eastAsia="zh-CN"/>
                    </w:rPr>
                    <w:t>检查时间</w:t>
                  </w:r>
                </w:p>
              </w:tc>
            </w:tr>
          </w:tbl>
          <w:p>
            <w:pPr>
              <w:jc w:val="center"/>
              <w:rPr>
                <w:rFonts w:hint="eastAsia" w:ascii="方正仿宋_GBK" w:hAnsi="方正仿宋_GBK" w:eastAsia="方正仿宋_GBK" w:cs="方正仿宋_GBK"/>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36"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类型</w:t>
            </w:r>
          </w:p>
        </w:tc>
        <w:tc>
          <w:tcPr>
            <w:tcW w:w="708" w:type="dxa"/>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4024"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检查内容</w:t>
            </w:r>
          </w:p>
        </w:tc>
        <w:tc>
          <w:tcPr>
            <w:tcW w:w="1366"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检查意见</w:t>
            </w:r>
          </w:p>
        </w:tc>
        <w:tc>
          <w:tcPr>
            <w:tcW w:w="2001" w:type="dxa"/>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eastAsia="zh-CN"/>
              </w:rPr>
              <w:t>备注</w:t>
            </w:r>
            <w:r>
              <w:rPr>
                <w:rFonts w:hint="eastAsia" w:ascii="方正仿宋_GBK" w:hAnsi="方正仿宋_GBK" w:eastAsia="方正仿宋_GBK" w:cs="方正仿宋_GBK"/>
                <w:sz w:val="24"/>
                <w:szCs w:val="24"/>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经营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资质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w:t>
            </w:r>
          </w:p>
        </w:tc>
        <w:tc>
          <w:tcPr>
            <w:tcW w:w="4024" w:type="dxa"/>
            <w:vAlign w:val="center"/>
          </w:tcPr>
          <w:p>
            <w:pPr>
              <w:jc w:val="left"/>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机动车维修经营业务是否通过交通运输管理部门备案</w:t>
            </w:r>
          </w:p>
        </w:tc>
        <w:tc>
          <w:tcPr>
            <w:tcW w:w="13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8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制度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规程</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w:t>
            </w:r>
          </w:p>
        </w:tc>
        <w:tc>
          <w:tcPr>
            <w:tcW w:w="4024" w:type="dxa"/>
            <w:vAlign w:val="center"/>
          </w:tcPr>
          <w:p>
            <w:pPr>
              <w:jc w:val="left"/>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机动车维修经营者是否具备最近半年的配件登记档案</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3</w:t>
            </w:r>
          </w:p>
        </w:tc>
        <w:tc>
          <w:tcPr>
            <w:tcW w:w="4024" w:type="dxa"/>
            <w:vAlign w:val="center"/>
          </w:tcPr>
          <w:p>
            <w:pPr>
              <w:jc w:val="left"/>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是否按照规定公示了经营范围、收费项目和收费标准</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4</w:t>
            </w:r>
          </w:p>
        </w:tc>
        <w:tc>
          <w:tcPr>
            <w:tcW w:w="4024" w:type="dxa"/>
            <w:vAlign w:val="center"/>
          </w:tcPr>
          <w:p>
            <w:pPr>
              <w:jc w:val="left"/>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抽查机动车维修经营者是否具备最近半年的机动车维修记录或者结算清单</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5</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机动车维修经营者是否执行维修技术标准</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8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安全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生产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6</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是否有健全的安全生产管理制度，包括安全生产操作规程、安全生产责任制、安全生产监督检查、事故隐患排查治理、从业人员岗前培训、安全培训教育</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7</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是否开展宣贯学习习近平总书记关于安全生产重要论述、重要</w:t>
            </w:r>
            <w:bookmarkStart w:id="0" w:name="_GoBack"/>
            <w:r>
              <w:rPr>
                <w:rFonts w:hint="eastAsia" w:ascii="方正仿宋_GBK" w:hAnsi="方正仿宋_GBK" w:eastAsia="方正仿宋_GBK" w:cs="方正仿宋_GBK"/>
                <w:color w:val="000000"/>
                <w:kern w:val="2"/>
                <w:sz w:val="21"/>
                <w:szCs w:val="21"/>
                <w:lang w:val="en-US" w:eastAsia="zh-CN" w:bidi="ar-SA"/>
              </w:rPr>
              <w:t>指示批示精神</w:t>
            </w:r>
            <w:bookmarkEnd w:id="0"/>
            <w:r>
              <w:rPr>
                <w:rFonts w:hint="eastAsia" w:ascii="方正仿宋_GBK" w:hAnsi="方正仿宋_GBK" w:eastAsia="方正仿宋_GBK" w:cs="方正仿宋_GBK"/>
                <w:color w:val="000000"/>
                <w:kern w:val="2"/>
                <w:sz w:val="21"/>
                <w:szCs w:val="21"/>
                <w:lang w:val="en-US" w:eastAsia="zh-CN" w:bidi="ar-SA"/>
              </w:rPr>
              <w:t>；是否开展重特大典型事故警示教育</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8</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是否按照规定制定应急预案</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9</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是否建立健全事故隐患排查治理制度，及时发现并消除事故隐患，并如实记录事故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隐患排查治理情况</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6" w:hRule="atLeast"/>
        </w:trPr>
        <w:tc>
          <w:tcPr>
            <w:tcW w:w="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重大事故隐患判定</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10</w:t>
            </w:r>
          </w:p>
        </w:tc>
        <w:tc>
          <w:tcPr>
            <w:tcW w:w="4024"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未取得经营许可或未按规定进行备案从事经营活动，或超出许可（备案）事项和有效期经营的；</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使用报废、擅自改装、拼装、检验检测不合格（含未在有效期内）以及其他不符合国家规定的车辆装备、设施设备等从事经营活动的；</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所属经营性驾驶员和车辆存在长期“三超一疲劳”（超速、超员、超载、疲劳驾驶）且运输过程中未及时提醒纠正、运输行为结束后一个月内未严肃处理，或所属经营性驾驶员存在一次计10分及以上诚信考核计分情形且未严肃处理仍继续安排上岗作业的；</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经营地或运营线路途经地已发布台风橙色及以上预警，暴雨、暴雪、冰雹、大雾、沙尘暴、大风、道路结冰红色预警，或地质灾害气象风险红色预警等不具备安全通行条件时，未执行政府部门停运指令或企业应急预案要求仍擅自安排运输作业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（五）按法律法规和规章规定，其他应当判定为重大事故隐患的。</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□不存在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重大事故隐患判定</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11</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（一）不具备危险货物运输车辆维修经营业务条件仍违规承修危险货物运输车辆的；（二）特种作业人员未按规定持证上岗的。</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□不存在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要求</w:t>
            </w:r>
          </w:p>
        </w:tc>
        <w:tc>
          <w:tcPr>
            <w:tcW w:w="809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1.发现存在违法行为，执法人员应予以制止和纠正，并采取照相、录音、录像以及法律允许的其他调查手段；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2.对违法行为进行调查取证，按照《交通运输行政执法程序规定》实施行政处罚。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3" w:hRule="atLeast"/>
        </w:trPr>
        <w:tc>
          <w:tcPr>
            <w:tcW w:w="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检查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记录</w:t>
            </w:r>
          </w:p>
        </w:tc>
        <w:tc>
          <w:tcPr>
            <w:tcW w:w="809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620" w:firstLineChars="2200"/>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检查人员签字：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 xml:space="preserve">                                           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执法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color w:val="000000"/>
                <w:kern w:val="2"/>
                <w:sz w:val="21"/>
                <w:szCs w:val="21"/>
                <w:lang w:val="en-US" w:eastAsia="zh-CN" w:bidi="ar-SA"/>
              </w:rPr>
              <w:t>依据</w:t>
            </w:r>
          </w:p>
        </w:tc>
        <w:tc>
          <w:tcPr>
            <w:tcW w:w="8099" w:type="dxa"/>
            <w:gridSpan w:val="4"/>
            <w:vAlign w:val="center"/>
          </w:tcPr>
          <w:p>
            <w:pPr>
              <w:jc w:val="lef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1.《中华人民共和国道路运输条例》</w:t>
            </w:r>
          </w:p>
          <w:p>
            <w:pPr>
              <w:jc w:val="lef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2.《新疆维吾尔自治区道路运输管理条例》</w:t>
            </w:r>
          </w:p>
          <w:p>
            <w:pPr>
              <w:jc w:val="lef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3.《机动车维修管理规定》</w:t>
            </w:r>
          </w:p>
          <w:p>
            <w:pPr>
              <w:jc w:val="lef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4.交通运输部《道路运输企业和城市客运企业安全生产重大事故隐患判定标准（试行）》</w:t>
            </w: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lang w:val="en-US" w:eastAsia="zh-CN"/>
              </w:rPr>
            </w:pPr>
            <w:r>
              <w:rPr>
                <w:rFonts w:hint="eastAsia" w:ascii="方正仿宋_GBK" w:hAnsi="方正仿宋_GBK" w:eastAsia="方正仿宋_GBK" w:cs="方正仿宋_GBK"/>
                <w:color w:val="000000"/>
                <w:kern w:val="2"/>
                <w:sz w:val="21"/>
                <w:szCs w:val="21"/>
                <w:lang w:val="en-US" w:eastAsia="zh-CN" w:bidi="ar-SA"/>
              </w:rPr>
              <w:t>5.公路运营领域重大事故隐患判定标准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eastAsia="仿宋_GB2312" w:hAnsiTheme="minorHAnsi" w:cstheme="minorBidi"/>
          <w:color w:val="000000"/>
          <w:kern w:val="2"/>
          <w:sz w:val="21"/>
          <w:szCs w:val="21"/>
          <w:lang w:val="en-US" w:eastAsia="zh-CN" w:bidi="ar-SA"/>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6A5EF"/>
    <w:multiLevelType w:val="singleLevel"/>
    <w:tmpl w:val="40B6A5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A048B"/>
    <w:rsid w:val="0FCA6795"/>
    <w:rsid w:val="1306508D"/>
    <w:rsid w:val="14486500"/>
    <w:rsid w:val="17773B19"/>
    <w:rsid w:val="1A5F0F7E"/>
    <w:rsid w:val="1F872A3F"/>
    <w:rsid w:val="28601C56"/>
    <w:rsid w:val="28C200B2"/>
    <w:rsid w:val="317A048B"/>
    <w:rsid w:val="38724029"/>
    <w:rsid w:val="56E661CD"/>
    <w:rsid w:val="5AF5280C"/>
    <w:rsid w:val="5CDC1AF4"/>
    <w:rsid w:val="69FD7E6C"/>
    <w:rsid w:val="7E11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2023-01-28T09:57:00Z</dcterms:created>
  <dc:creator>Asus</dc:creator>
  <cp:lastModifiedBy>Administrator</cp:lastModifiedBy>
  <dcterms:modified xsi:type="dcterms:W3CDTF">2025-08-21T03:43:19Z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BADEAD44BFAF4076968A4198603A82B0_12</vt:lpwstr>
  </property>
</Properties>
</file>