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vertAlign w:val="baseline"/>
          <w:lang w:eastAsia="zh-CN"/>
        </w:rPr>
      </w:pPr>
      <w:r>
        <w:rPr>
          <w:rFonts w:hint="eastAsia" w:ascii="方正小标宋_GBK" w:hAnsi="方正小标宋_GBK" w:eastAsia="方正小标宋_GBK" w:cs="方正小标宋_GBK"/>
          <w:sz w:val="44"/>
          <w:szCs w:val="44"/>
          <w:vertAlign w:val="baseline"/>
          <w:lang w:eastAsia="zh-CN"/>
        </w:rPr>
        <w:t>道路旅客运输企业检查表</w:t>
      </w:r>
    </w:p>
    <w:tbl>
      <w:tblPr>
        <w:tblStyle w:val="5"/>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8"/>
        <w:gridCol w:w="4024"/>
        <w:gridCol w:w="1366"/>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44" w:type="dxa"/>
            <w:gridSpan w:val="2"/>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事项名称</w:t>
            </w:r>
          </w:p>
        </w:tc>
        <w:tc>
          <w:tcPr>
            <w:tcW w:w="7391" w:type="dxa"/>
            <w:gridSpan w:val="3"/>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道路客运经营者检查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544" w:type="dxa"/>
            <w:gridSpan w:val="2"/>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检查对象</w:t>
            </w:r>
          </w:p>
        </w:tc>
        <w:tc>
          <w:tcPr>
            <w:tcW w:w="7391" w:type="dxa"/>
            <w:gridSpan w:val="3"/>
            <w:vAlign w:val="center"/>
          </w:tcPr>
          <w:p>
            <w:pPr>
              <w:tabs>
                <w:tab w:val="center" w:pos="3647"/>
                <w:tab w:val="left" w:pos="4837"/>
              </w:tabs>
              <w:jc w:val="left"/>
              <w:rPr>
                <w:rFonts w:hint="eastAsia" w:ascii="方正仿宋_GBK" w:hAnsi="方正仿宋_GBK" w:eastAsia="方正仿宋_GBK" w:cs="方正仿宋_GBK"/>
                <w:sz w:val="24"/>
                <w:szCs w:val="24"/>
                <w:vertAlign w:val="baseline"/>
                <w:lan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3357245</wp:posOffset>
                      </wp:positionH>
                      <wp:positionV relativeFrom="paragraph">
                        <wp:posOffset>-5715</wp:posOffset>
                      </wp:positionV>
                      <wp:extent cx="0" cy="445770"/>
                      <wp:effectExtent l="4445" t="0" r="14605" b="11430"/>
                      <wp:wrapNone/>
                      <wp:docPr id="9" name="直接连接符 9"/>
                      <wp:cNvGraphicFramePr/>
                      <a:graphic xmlns:a="http://schemas.openxmlformats.org/drawingml/2006/main">
                        <a:graphicData uri="http://schemas.microsoft.com/office/word/2010/wordprocessingShape">
                          <wps:wsp>
                            <wps:cNvCnPr/>
                            <wps:spPr>
                              <a:xfrm flipV="1">
                                <a:off x="5471160" y="1963420"/>
                                <a:ext cx="0" cy="445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4.35pt;margin-top:-0.45pt;height:35.1pt;width:0pt;z-index:251660288;mso-width-relative:page;mso-height-relative:page;" filled="f" stroked="t" coordsize="21600,21600" o:gfxdata="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LPSFfXAAAACAEA&#10;AA8AAAAAAAAAAQAgAAAAIgAAAGRycy9kb3ducmV2LnhtbFBLAQIUABQAAAAIAIdO4kCl7dir4gEA&#10;AHgDAAAOAAAAAAAAAAEAIAAAACYBAABkcnMvZTJvRG9jLnhtbFBLBQYAAAAABgAGAFkBAAB6BQAA&#10;AAA=&#10;">
                      <v:fill on="f" focussize="0,0"/>
                      <v:stroke weight="0.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2490470</wp:posOffset>
                      </wp:positionH>
                      <wp:positionV relativeFrom="paragraph">
                        <wp:posOffset>-5715</wp:posOffset>
                      </wp:positionV>
                      <wp:extent cx="0" cy="419100"/>
                      <wp:effectExtent l="4445" t="0" r="14605" b="0"/>
                      <wp:wrapNone/>
                      <wp:docPr id="4" name="直接连接符 4"/>
                      <wp:cNvGraphicFramePr/>
                      <a:graphic xmlns:a="http://schemas.openxmlformats.org/drawingml/2006/main">
                        <a:graphicData uri="http://schemas.microsoft.com/office/word/2010/wordprocessingShape">
                          <wps:wsp>
                            <wps:cNvCnPr/>
                            <wps:spPr>
                              <a:xfrm flipV="1">
                                <a:off x="4613910" y="1972945"/>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96.1pt;margin-top:-0.45pt;height:33pt;width:0pt;z-index:251659264;mso-width-relative:page;mso-height-relative:page;" filled="f" stroked="t" coordsize="21600,21600" o:gfxdata="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qc8dXXAAAACAEA&#10;AA8AAAAAAAAAAQAgAAAAIgAAAGRycy9kb3ducmV2LnhtbFBLAQIUABQAAAAIAIdO4kBNLf9W4gEA&#10;AHgDAAAOAAAAAAAAAAEAIAAAACYBAABkcnMvZTJvRG9jLnhtbFBLBQYAAAAABgAGAFkBAAB6BQAA&#10;AAA=&#10;">
                      <v:fill on="f" focussize="0,0"/>
                      <v:stroke weight="0.5pt" color="#5B9BD5 [3204]" miterlimit="8" joinstyle="miter"/>
                      <v:imagedata o:title=""/>
                      <o:lock v:ext="edit" aspectratio="f"/>
                    </v:line>
                  </w:pict>
                </mc:Fallback>
              </mc:AlternateContent>
            </w:r>
            <w:r>
              <w:rPr>
                <w:rFonts w:hint="eastAsia"/>
                <w:sz w:val="24"/>
                <w:lang w:eastAsia="zh-CN"/>
              </w:rPr>
              <w:tab/>
            </w:r>
            <w:r>
              <w:rPr>
                <w:rFonts w:hint="eastAsia"/>
                <w:sz w:val="24"/>
                <w:lang w:val="en-US" w:eastAsia="zh-CN"/>
              </w:rPr>
              <w:t xml:space="preserve">                </w:t>
            </w:r>
            <w:r>
              <w:rPr>
                <w:rFonts w:hint="eastAsia" w:ascii="方正仿宋_GBK" w:hAnsi="方正仿宋_GBK" w:eastAsia="方正仿宋_GBK" w:cs="方正仿宋_GBK"/>
                <w:sz w:val="24"/>
                <w:szCs w:val="24"/>
                <w:vertAlign w:val="baseline"/>
                <w:lang w:eastAsia="zh-CN"/>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36"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类型</w:t>
            </w:r>
          </w:p>
        </w:tc>
        <w:tc>
          <w:tcPr>
            <w:tcW w:w="708" w:type="dxa"/>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4024"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检查内容</w:t>
            </w:r>
          </w:p>
        </w:tc>
        <w:tc>
          <w:tcPr>
            <w:tcW w:w="1366"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检查意见</w:t>
            </w:r>
          </w:p>
        </w:tc>
        <w:tc>
          <w:tcPr>
            <w:tcW w:w="2001" w:type="dxa"/>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eastAsia="zh-CN"/>
              </w:rPr>
              <w:t>备注</w:t>
            </w:r>
            <w:r>
              <w:rPr>
                <w:rFonts w:hint="eastAsia" w:ascii="方正仿宋_GBK" w:hAnsi="方正仿宋_GBK" w:eastAsia="方正仿宋_GBK" w:cs="方正仿宋_GBK"/>
                <w:sz w:val="24"/>
                <w:szCs w:val="24"/>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8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经营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资质</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是否具有有效道路运输经营许可证</w:t>
            </w:r>
          </w:p>
        </w:tc>
        <w:tc>
          <w:tcPr>
            <w:tcW w:w="13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是否具有与其经营业务相适应并经检测合格的客车</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3</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抽查车辆是否取得道路运输证，且不存在失效、伪造、变造、被注销等无效情形，是否按照规定参加年度审验</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人员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资质</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4</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是否具有符合规定条件的客运经营驾驶人员，以及具有相应的从业资格证明</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8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车辆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技术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管理</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5</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抽查部分车辆日常维护、一级维护和二级维护记录(按照比例，抽查数量不少于 2 份)，检查道路运输经营者是否按照规定维护、检测运输车辆，维护周期是否符合企业车辆技术管理制度的规定</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6</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抽查是否具有最近 1 年的车辆维护记录</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7</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抽查车辆最近 1 年的技术档案，是否具有且符合规定，是否按照“ 一车一 档”建立了车辆技术档案，档案内容是否齐全</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8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动态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监控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动态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监控</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8</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是否配备了专职的监控人员、建立登记台账</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9</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是否使用符合标准的监控平台，且监控平台接入联网联控系统、并按规定上传道路运输车辆动态信息的</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10</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抽查近期卫星定位系统平台中记录的各类违法违规报警信息的处理记录，核查处理率是否达到 90%以上，并记录存档至动态监控台账</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11</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抽查企业正在运营的车辆是否均已上线，是否存在卫星定位装置故障但仍在运营的车辆</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安全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生产</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12</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是否有健全的安全生产管理制度，包括安全生产操作规程、安全生产责任制、安全生产监督检查、动态监控管 理、事故隐患排查治理、驾驶人员和车辆安全生产管理的制度（客运驾驶 员聘用和岗前培训、安全培训教育及考核、信息档案管理、调离和辞退、安全告诫以及客运车辆选用、技术档案管理、车辆技术状况检查、年审检验、改型报废）等</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安全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生产</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13</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是否设置安全生产管理机构或者配备安全生产管理人员</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14</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企业主要负责人和安全生产管理人员是否经安全生产知识和管理能力考核合格</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15</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抽查主要负责人和安全生产管理人员是否掌握其自身安全生产职责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w w:val="90"/>
                <w:kern w:val="2"/>
                <w:sz w:val="21"/>
                <w:szCs w:val="21"/>
                <w:lang w:val="en-US" w:eastAsia="zh-CN" w:bidi="ar-SA"/>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16</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企业主要负责人初次培训和每年再培训的档案，初次培训是否不少于 24 学时，每年再培训不少于 12 学时</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17</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企业对驾驶员的统一培训记录和继续教育记录，核查驾驶员每月参加教育培训时间是否符合要求，是否按期参加继续教育</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18</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企业是否对交通违法行为多发及发生交通事故的驾驶员进行针对性的教育培训</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8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安全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生产</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19</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询问抽查部分驾驶员是否掌握安全驾驶知识</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20</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客运经营者是否为旅客投保承运人责任险的记录，以及是 否 按 照 最 低 投 保 限 额 投保，是否失效</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21</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是否开展宣贯学习习近平总书记关于安全生产重要论述、重要</w:t>
            </w:r>
            <w:bookmarkStart w:id="0" w:name="_GoBack"/>
            <w:r>
              <w:rPr>
                <w:rFonts w:hint="eastAsia" w:ascii="方正仿宋_GBK" w:hAnsi="方正仿宋_GBK" w:eastAsia="方正仿宋_GBK" w:cs="方正仿宋_GBK"/>
                <w:color w:val="000000"/>
                <w:w w:val="90"/>
                <w:kern w:val="2"/>
                <w:sz w:val="21"/>
                <w:szCs w:val="21"/>
                <w:lang w:val="en-US" w:eastAsia="zh-CN" w:bidi="ar-SA"/>
              </w:rPr>
              <w:t>指示批示精神</w:t>
            </w:r>
            <w:bookmarkEnd w:id="0"/>
            <w:r>
              <w:rPr>
                <w:rFonts w:hint="eastAsia" w:ascii="方正仿宋_GBK" w:hAnsi="方正仿宋_GBK" w:eastAsia="方正仿宋_GBK" w:cs="方正仿宋_GBK"/>
                <w:color w:val="000000"/>
                <w:w w:val="90"/>
                <w:kern w:val="2"/>
                <w:sz w:val="21"/>
                <w:szCs w:val="21"/>
                <w:lang w:val="en-US" w:eastAsia="zh-CN" w:bidi="ar-SA"/>
              </w:rPr>
              <w:t>；是否开展重特大典型事故警示教育</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22</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是否按照规定制定应急预案，并定期组织演练</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23</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是否储备必要的应急救援物资、装备，建立应急救援队</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8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24</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是否建立健全事故隐患排查治理制度，及时发现并消除事故隐患，并如实记录事故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隐患排查治理情况</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重大事故隐患判定</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25</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一）未取得经营许可或未按规定进行备案从事经营活动，或超出许可（备案）事项和有效期经营的；（二）使用报废、擅自改装、拼装、检验检测不合格（含未在有效期内）以及其他不符合国家规定的车辆装备、设施设备等从事经营活动的；（三）所属经营性驾驶员和车辆存在长期“三超一疲劳”（超速、超员、超载、疲劳驾驶）且运输过程中未及时提醒纠正、运输行为结束后一个月内未严肃处理，或所属经营性驾驶员存在一次计10分及以上诚信考核计分情形且未严肃处理仍继续安排上岗作业的；（四）经营地或运营线路途经地已发布台风橙色及以上预警，暴雨、暴雪、冰雹、大雾、沙尘暴、大风、道路结冰红色预警，或地质灾害气象风险红色预警等不具备安全通行条件时，未执行政府部门停运指令或企业应急预案要求仍擅自安排运输作业的；（五）按法律法规和规章规定，其他应当判定为重大事故隐患的。</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□不存在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8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重大事故隐患判定</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26</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（一）800公里以上道路客运班线未按规定开展安全风险评估，或所属客运车辆未按规定执行凌晨2时至5时停车休息或接驳运输的；（二）所属客运车辆违法承运或夹带危险物品的。</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□不存在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836"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w w:val="9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27</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城市公共汽电车客运企业（一）未按规定在城市公共汽电车车辆驾驶区域安装安全防护隔离设施的；（二）新能源城市公共汽电车动力电池超过质保期，未按规定及时更换仍继续使用的。</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□不存在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836" w:type="dxa"/>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w w:val="9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28</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（一）网络预约出租汽车经营者（网约车平台公司）线上提供服务的车辆或驾驶员与线下实际提供服务的车辆、驾驶员不一致的；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（二）网络预约出租汽车经营者（网约车平台公司）未在App显著位置设置“一键报警”，或虽设置“一键报警”但无法正常使用的。</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□不存在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重大事故隐患判定</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29</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w w:val="90"/>
                <w:kern w:val="2"/>
                <w:sz w:val="21"/>
                <w:szCs w:val="21"/>
                <w:lang w:val="en-US" w:eastAsia="zh-CN" w:bidi="ar-SA"/>
              </w:rPr>
            </w:pPr>
            <w:r>
              <w:rPr>
                <w:rFonts w:hint="eastAsia" w:ascii="方正仿宋_GBK" w:hAnsi="方正仿宋_GBK" w:eastAsia="方正仿宋_GBK" w:cs="方正仿宋_GBK"/>
                <w:color w:val="000000"/>
                <w:w w:val="90"/>
                <w:kern w:val="2"/>
                <w:sz w:val="21"/>
                <w:szCs w:val="21"/>
                <w:lang w:val="en-US" w:eastAsia="zh-CN" w:bidi="ar-SA"/>
              </w:rPr>
              <w:t>汽车客运站经营的企业（一）未按规定执行一类、二类客运班线实名制管理制度的；（二）允许超载车辆出站的。</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□不存在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要求</w:t>
            </w:r>
          </w:p>
        </w:tc>
        <w:tc>
          <w:tcPr>
            <w:tcW w:w="80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1.发现存在违法行为，执法人员应予以制止和纠正，并采取照相、录音、录像以及法律允许的其他调查手段；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2.对违法行为进行调查取证，按照《交通运输行政执法程序规定》实施行政处罚。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检查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记录</w:t>
            </w:r>
          </w:p>
        </w:tc>
        <w:tc>
          <w:tcPr>
            <w:tcW w:w="80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rPr>
                <w:rFonts w:hint="eastAsia" w:ascii="方正仿宋_GBK" w:hAnsi="方正仿宋_GBK" w:eastAsia="方正仿宋_GBK" w:cs="方正仿宋_GBK"/>
                <w:color w:val="000000"/>
                <w:kern w:val="2"/>
                <w:sz w:val="21"/>
                <w:szCs w:val="21"/>
                <w:lang w:val="en-US" w:eastAsia="zh-CN" w:bidi="ar-SA"/>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 xml:space="preserve">                  检查人员签字：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 xml:space="preserve">                           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836"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执法</w:t>
            </w:r>
          </w:p>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依据</w:t>
            </w:r>
          </w:p>
        </w:tc>
        <w:tc>
          <w:tcPr>
            <w:tcW w:w="80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1.《中华人民共和国道路运输条例》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2.《新疆维吾尔自治区道路运输管理条例》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3.《道路旅客运输及客运站管理规定》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4.《道路运输车辆技术管理规定》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5.《道路运输车辆动态监督管理办法》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6.《中华人民共和国安全生产法》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7.《道路运输从业人员管理规定》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8.交通运输部《道路运输企业和城市客运企业安全生产重大事故隐患判定标准（试行）》</w:t>
            </w:r>
          </w:p>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lang w:val="en-US" w:eastAsia="zh-CN"/>
              </w:rPr>
            </w:pPr>
            <w:r>
              <w:rPr>
                <w:rFonts w:hint="eastAsia" w:ascii="方正仿宋_GBK" w:hAnsi="方正仿宋_GBK" w:eastAsia="方正仿宋_GBK" w:cs="方正仿宋_GBK"/>
                <w:color w:val="000000"/>
                <w:kern w:val="2"/>
                <w:sz w:val="21"/>
                <w:szCs w:val="21"/>
                <w:lang w:val="en-US" w:eastAsia="zh-CN" w:bidi="ar-SA"/>
              </w:rPr>
              <w:t>9.公路运营领域重大事故隐患判定标准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515A0"/>
    <w:rsid w:val="083B1D56"/>
    <w:rsid w:val="14811B15"/>
    <w:rsid w:val="178126F1"/>
    <w:rsid w:val="1F872A3F"/>
    <w:rsid w:val="25F24312"/>
    <w:rsid w:val="27D40036"/>
    <w:rsid w:val="2D521334"/>
    <w:rsid w:val="3AA35253"/>
    <w:rsid w:val="3D93188C"/>
    <w:rsid w:val="3DEF69C6"/>
    <w:rsid w:val="3E0B10A2"/>
    <w:rsid w:val="43EE5B47"/>
    <w:rsid w:val="45E35B41"/>
    <w:rsid w:val="4FC515A0"/>
    <w:rsid w:val="58844DB5"/>
    <w:rsid w:val="59FA098E"/>
    <w:rsid w:val="6442362A"/>
    <w:rsid w:val="664C7EEB"/>
    <w:rsid w:val="7F08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2023-01-28T09:58:00Z</dcterms:created>
  <dc:creator>Asus</dc:creator>
  <cp:lastModifiedBy>Administrator</cp:lastModifiedBy>
  <dcterms:modified xsi:type="dcterms:W3CDTF">2025-08-21T03:43:40Z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8FBA686F4598466EBBE67907CAF8BA33_12</vt:lpwstr>
  </property>
</Properties>
</file>