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博乐市青得里中心学校</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4307DE16">
      <w:r>
        <w:br w:type="page"/>
      </w:r>
    </w:p>
    <w:p w14:paraId="3C446B25">
      <w:pPr>
        <w:spacing w:line="640" w:lineRule="exact"/>
        <w:jc w:val="center"/>
        <w:outlineLvl w:val="1"/>
      </w:pPr>
      <w:r>
        <w:rPr>
          <w:rFonts w:ascii="黑体" w:hAnsi="黑体" w:eastAsia="黑体"/>
          <w:sz w:val="32"/>
        </w:rPr>
        <w:t>第一部分 单位概况</w:t>
      </w:r>
    </w:p>
    <w:p w14:paraId="0CD3280A">
      <w:pPr>
        <w:spacing w:line="640" w:lineRule="exact"/>
        <w:ind w:firstLine="640"/>
        <w:jc w:val="both"/>
        <w:outlineLvl w:val="2"/>
      </w:pPr>
      <w:r>
        <w:rPr>
          <w:rFonts w:ascii="黑体" w:hAnsi="黑体" w:eastAsia="黑体"/>
          <w:sz w:val="32"/>
        </w:rPr>
        <w:t>一、主要职能</w:t>
      </w:r>
    </w:p>
    <w:p w14:paraId="1C352E0F">
      <w:pPr>
        <w:spacing w:line="580" w:lineRule="exact"/>
        <w:ind w:firstLine="640"/>
        <w:jc w:val="both"/>
      </w:pPr>
      <w:r>
        <w:rPr>
          <w:rFonts w:ascii="仿宋_GB2312" w:hAnsi="仿宋_GB2312" w:eastAsia="仿宋_GB2312"/>
          <w:sz w:val="32"/>
        </w:rPr>
        <w:t>1.全面负责学校工作，认真贯彻落实党和国家的方针、政策，正确执行上级主管部门的决议和指示，全面实施素质教育，培养</w:t>
      </w:r>
      <w:r>
        <w:rPr>
          <w:rFonts w:ascii="仿宋_GB2312" w:hAnsi="仿宋_GB2312" w:eastAsia="仿宋_GB2312"/>
          <w:spacing w:val="6"/>
          <w:sz w:val="32"/>
        </w:rPr>
        <w:t>德、智、体、美等方面全面发展的社会主义事业的建设者和接班人。</w:t>
      </w:r>
    </w:p>
    <w:p w14:paraId="668163BF">
      <w:pPr>
        <w:spacing w:line="580" w:lineRule="exact"/>
        <w:ind w:firstLine="640"/>
        <w:jc w:val="both"/>
      </w:pPr>
      <w:r>
        <w:rPr>
          <w:rFonts w:ascii="仿宋_GB2312" w:hAnsi="仿宋_GB2312" w:eastAsia="仿宋_GB2312"/>
          <w:sz w:val="32"/>
        </w:rPr>
        <w:t>2.根据教育规律、社会要求和学校实际，组织制定学校发展的远景规划、近期目标、学年和学期各项工作计划以及各项工作指标并组织实施。</w:t>
      </w:r>
    </w:p>
    <w:p w14:paraId="79631638">
      <w:pPr>
        <w:spacing w:line="580" w:lineRule="exact"/>
        <w:ind w:firstLine="640"/>
        <w:jc w:val="both"/>
      </w:pPr>
      <w:r>
        <w:rPr>
          <w:rFonts w:ascii="仿宋_GB2312" w:hAnsi="仿宋_GB2312" w:eastAsia="仿宋_GB2312"/>
          <w:sz w:val="32"/>
        </w:rPr>
        <w:t>3.加强学校的科学化管理，制定和健全各项规章制度，规范办学行为，培养良好校风，逐步实现管理决策的科学化，管理方法的定量化和管理手段的现代化。</w:t>
      </w:r>
    </w:p>
    <w:p w14:paraId="56E4761F">
      <w:pPr>
        <w:spacing w:line="580" w:lineRule="exact"/>
        <w:ind w:firstLine="640"/>
        <w:jc w:val="both"/>
      </w:pPr>
      <w:r>
        <w:rPr>
          <w:rFonts w:ascii="仿宋_GB2312" w:hAnsi="仿宋_GB2312" w:eastAsia="仿宋_GB2312"/>
          <w:sz w:val="32"/>
        </w:rPr>
        <w:t>4.负责规划，不断提高他们的政治素质、文化业务水平和教研水平。</w:t>
      </w:r>
    </w:p>
    <w:p w14:paraId="7B83B3B5">
      <w:pPr>
        <w:spacing w:line="580" w:lineRule="exact"/>
        <w:ind w:firstLine="640"/>
        <w:jc w:val="both"/>
      </w:pPr>
      <w:r>
        <w:rPr>
          <w:rFonts w:ascii="仿宋_GB2312" w:hAnsi="仿宋_GB2312" w:eastAsia="仿宋_GB2312"/>
          <w:sz w:val="32"/>
        </w:rPr>
        <w:t>5.领导和组织学校的思想政治工作，把德育工作放在首位。研究思想政治工作的要求、内容、方法和规律，不断加强对学生的思想政治、法制纪律和道德品质教育以及做好管理工作。教育全体教职工做到教书育人、管理育人、服务育人，搞好学校、社会、家庭三结合教育。</w:t>
      </w:r>
    </w:p>
    <w:p w14:paraId="6FB25428">
      <w:pPr>
        <w:spacing w:line="580" w:lineRule="exact"/>
        <w:ind w:firstLine="640"/>
        <w:jc w:val="both"/>
      </w:pPr>
      <w:r>
        <w:rPr>
          <w:rFonts w:ascii="仿宋_GB2312" w:hAnsi="仿宋_GB2312" w:eastAsia="仿宋_GB2312"/>
          <w:sz w:val="32"/>
        </w:rPr>
        <w:t>6.负责领导和组织学校的教学工作，坚持以教学为中心，保证教学计划的贯彻执行。要有计划地参加教研活动，有目的地深入教学第一线，了解教师教学和学生学习情况，要大力推进教学改革，加强教研工作的组织领导。有计划地组织教学检查、分析，提出提高教学质量的方法。</w:t>
      </w:r>
    </w:p>
    <w:p w14:paraId="56F7D622">
      <w:pPr>
        <w:spacing w:line="580" w:lineRule="exact"/>
        <w:ind w:firstLine="640"/>
        <w:jc w:val="both"/>
      </w:pPr>
      <w:r>
        <w:rPr>
          <w:rFonts w:ascii="仿宋_GB2312" w:hAnsi="仿宋_GB2312" w:eastAsia="仿宋_GB2312"/>
          <w:sz w:val="32"/>
        </w:rPr>
        <w:t>7.组织</w:t>
      </w:r>
      <w:r>
        <w:rPr>
          <w:rFonts w:hint="eastAsia" w:ascii="仿宋_GB2312" w:hAnsi="仿宋_GB2312" w:eastAsia="仿宋_GB2312"/>
          <w:sz w:val="32"/>
          <w:lang w:eastAsia="zh-CN"/>
        </w:rPr>
        <w:t>制定</w:t>
      </w:r>
      <w:r>
        <w:rPr>
          <w:rFonts w:ascii="仿宋_GB2312" w:hAnsi="仿宋_GB2312" w:eastAsia="仿宋_GB2312"/>
          <w:sz w:val="32"/>
        </w:rPr>
        <w:t>校园建设规划，加强对财务工作的领导，正确使用各项经费，不断改善办学条件，强化安全工作管理，创造良好的育人环境。改善教职工的福利生活，提高福利待遇，努力解除教职工的后顾之忧。</w:t>
      </w:r>
    </w:p>
    <w:p w14:paraId="141B40EE">
      <w:pPr>
        <w:spacing w:line="580" w:lineRule="exact"/>
        <w:ind w:firstLine="640"/>
        <w:jc w:val="both"/>
      </w:pPr>
      <w:r>
        <w:rPr>
          <w:rFonts w:ascii="仿宋_GB2312" w:hAnsi="仿宋_GB2312" w:eastAsia="仿宋_GB2312"/>
          <w:sz w:val="32"/>
        </w:rPr>
        <w:t>8.加强与党支部的合作，主动接受学校党组织的监督，搞好领导班子的团结和协作。</w:t>
      </w:r>
    </w:p>
    <w:p w14:paraId="0937EF08">
      <w:pPr>
        <w:spacing w:line="580" w:lineRule="exact"/>
        <w:ind w:firstLine="640"/>
        <w:jc w:val="both"/>
      </w:pPr>
      <w:r>
        <w:rPr>
          <w:rFonts w:ascii="仿宋_GB2312" w:hAnsi="仿宋_GB2312" w:eastAsia="仿宋_GB2312"/>
          <w:sz w:val="32"/>
        </w:rPr>
        <w:t>9.依靠群众办学，实行民主管理和民主监督。负责定期向教代会报告工作，充分发挥教代会参与学校</w:t>
      </w:r>
      <w:r>
        <w:rPr>
          <w:rFonts w:hint="eastAsia" w:ascii="仿宋_GB2312" w:hAnsi="仿宋_GB2312" w:eastAsia="仿宋_GB2312"/>
          <w:sz w:val="32"/>
          <w:lang w:eastAsia="zh-CN"/>
        </w:rPr>
        <w:t>民主管理、民主监督</w:t>
      </w:r>
      <w:r>
        <w:rPr>
          <w:rFonts w:ascii="仿宋_GB2312" w:hAnsi="仿宋_GB2312" w:eastAsia="仿宋_GB2312"/>
          <w:sz w:val="32"/>
        </w:rPr>
        <w:t>的作用，支持其在职权范围内所</w:t>
      </w:r>
      <w:r>
        <w:rPr>
          <w:rFonts w:hint="eastAsia" w:ascii="仿宋_GB2312" w:hAnsi="仿宋_GB2312" w:eastAsia="仿宋_GB2312"/>
          <w:sz w:val="32"/>
          <w:lang w:eastAsia="zh-CN"/>
        </w:rPr>
        <w:t>作</w:t>
      </w:r>
      <w:r>
        <w:rPr>
          <w:rFonts w:ascii="仿宋_GB2312" w:hAnsi="仿宋_GB2312" w:eastAsia="仿宋_GB2312"/>
          <w:sz w:val="32"/>
        </w:rPr>
        <w:t>的有关决定。督促和检查教代会提案的办理与落实。</w:t>
      </w:r>
    </w:p>
    <w:p w14:paraId="104C1639">
      <w:pPr>
        <w:spacing w:line="580" w:lineRule="exact"/>
        <w:ind w:firstLine="640"/>
        <w:jc w:val="both"/>
      </w:pPr>
      <w:r>
        <w:rPr>
          <w:rFonts w:ascii="仿宋_GB2312" w:hAnsi="仿宋_GB2312" w:eastAsia="仿宋_GB2312"/>
          <w:sz w:val="32"/>
        </w:rPr>
        <w:t>10.主持学校与学生家长及社会的联系工作和外来工作。搞好校际间的交往；做好与社会各界的联系工作，争取各方面力量对学校的支持，为办好学校创造良好的外部条件。</w:t>
      </w:r>
    </w:p>
    <w:p w14:paraId="1C0E69C1">
      <w:pPr>
        <w:spacing w:line="640" w:lineRule="exact"/>
        <w:ind w:firstLine="640"/>
        <w:jc w:val="both"/>
        <w:outlineLvl w:val="2"/>
      </w:pPr>
      <w:r>
        <w:rPr>
          <w:rFonts w:ascii="黑体" w:hAnsi="黑体" w:eastAsia="黑体"/>
          <w:sz w:val="32"/>
        </w:rPr>
        <w:t>二、机构设置</w:t>
      </w:r>
    </w:p>
    <w:p w14:paraId="658C648C">
      <w:pPr>
        <w:spacing w:line="580" w:lineRule="exact"/>
        <w:ind w:firstLine="640"/>
        <w:jc w:val="both"/>
      </w:pPr>
      <w:r>
        <w:rPr>
          <w:rFonts w:ascii="仿宋_GB2312" w:hAnsi="仿宋_GB2312" w:eastAsia="仿宋_GB2312"/>
          <w:sz w:val="32"/>
        </w:rPr>
        <w:t>博乐市青得里中心学校无下属预算单位。</w:t>
      </w:r>
    </w:p>
    <w:p w14:paraId="27DCF45A">
      <w:r>
        <w:br w:type="page"/>
      </w:r>
    </w:p>
    <w:p w14:paraId="2BAB47B2">
      <w:pPr>
        <w:spacing w:line="240" w:lineRule="auto"/>
        <w:jc w:val="center"/>
        <w:outlineLvl w:val="1"/>
      </w:pPr>
      <w:r>
        <w:rPr>
          <w:rFonts w:ascii="黑体" w:hAnsi="黑体" w:eastAsia="黑体"/>
          <w:sz w:val="32"/>
        </w:rPr>
        <w:t>第二部分 部门决算情况说明</w:t>
      </w:r>
    </w:p>
    <w:p w14:paraId="677A1E93">
      <w:pPr>
        <w:spacing w:line="640" w:lineRule="exact"/>
        <w:ind w:firstLine="640"/>
        <w:jc w:val="both"/>
        <w:outlineLvl w:val="2"/>
      </w:pPr>
      <w:r>
        <w:rPr>
          <w:rFonts w:ascii="黑体" w:hAnsi="黑体" w:eastAsia="黑体"/>
          <w:sz w:val="32"/>
        </w:rPr>
        <w:t>一、收入支出决算总体情况说明</w:t>
      </w:r>
    </w:p>
    <w:p w14:paraId="584A7706">
      <w:pPr>
        <w:spacing w:line="580" w:lineRule="exact"/>
        <w:ind w:firstLine="640"/>
        <w:jc w:val="both"/>
      </w:pPr>
      <w:r>
        <w:rPr>
          <w:rFonts w:ascii="仿宋_GB2312" w:hAnsi="仿宋_GB2312" w:eastAsia="仿宋_GB2312"/>
          <w:b/>
          <w:sz w:val="32"/>
        </w:rPr>
        <w:t>2025年度收入总计3,258.88万元，</w:t>
      </w:r>
      <w:r>
        <w:rPr>
          <w:rFonts w:ascii="仿宋_GB2312" w:hAnsi="仿宋_GB2312" w:eastAsia="仿宋_GB2312"/>
          <w:b w:val="0"/>
          <w:sz w:val="32"/>
        </w:rPr>
        <w:t>其中：本年收入合计3,258.88万元，使用非财政拨款结余（含专用结余）0.00万元，年初结转和结余0.00万元。</w:t>
      </w:r>
    </w:p>
    <w:p w14:paraId="680860D5">
      <w:pPr>
        <w:spacing w:line="580" w:lineRule="exact"/>
        <w:ind w:firstLine="640"/>
        <w:jc w:val="both"/>
      </w:pPr>
      <w:r>
        <w:rPr>
          <w:rFonts w:ascii="仿宋_GB2312" w:hAnsi="仿宋_GB2312" w:eastAsia="仿宋_GB2312"/>
          <w:b/>
          <w:sz w:val="32"/>
        </w:rPr>
        <w:t>2025年度支出总计3,258.88万元，</w:t>
      </w:r>
      <w:r>
        <w:rPr>
          <w:rFonts w:ascii="仿宋_GB2312" w:hAnsi="仿宋_GB2312" w:eastAsia="仿宋_GB2312"/>
          <w:b w:val="0"/>
          <w:sz w:val="32"/>
        </w:rPr>
        <w:t>其中：本年支出合计3,258.88万元，结余分配0.00万元，年末结转和结余0.00万元。</w:t>
      </w:r>
    </w:p>
    <w:p w14:paraId="2B6655D6">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1,059.39万元，增长48.17%，主要原因是：本年机构改革，博乐市青得里第一小学合并至本单位，在职人员、退休人员增加，相应人员经费较上年增加；本年增加中央支持学前教育发展资金，导致经费较上年增加。</w:t>
      </w:r>
    </w:p>
    <w:p w14:paraId="16EA4BC6">
      <w:pPr>
        <w:spacing w:line="640" w:lineRule="exact"/>
        <w:ind w:firstLine="640"/>
        <w:jc w:val="both"/>
        <w:outlineLvl w:val="2"/>
      </w:pPr>
      <w:r>
        <w:rPr>
          <w:rFonts w:ascii="黑体" w:hAnsi="黑体" w:eastAsia="黑体"/>
          <w:sz w:val="32"/>
        </w:rPr>
        <w:t>二、收入决算情况说明</w:t>
      </w:r>
    </w:p>
    <w:p w14:paraId="0FF8D5CF">
      <w:pPr>
        <w:spacing w:line="580" w:lineRule="exact"/>
        <w:ind w:firstLine="640"/>
        <w:jc w:val="both"/>
      </w:pPr>
      <w:r>
        <w:rPr>
          <w:rFonts w:ascii="仿宋_GB2312" w:hAnsi="仿宋_GB2312" w:eastAsia="仿宋_GB2312"/>
          <w:b/>
          <w:sz w:val="32"/>
        </w:rPr>
        <w:t>本年收入3,258.88万元，</w:t>
      </w:r>
      <w:r>
        <w:rPr>
          <w:rFonts w:ascii="仿宋_GB2312" w:hAnsi="仿宋_GB2312" w:eastAsia="仿宋_GB2312"/>
          <w:b w:val="0"/>
          <w:sz w:val="32"/>
        </w:rPr>
        <w:t>其中：财政拨款收入3,258.61万元，占99.99%；上级补助收入0.00万元，占0.00%；事业收入0.00万元，占0.00%；经营收入0.00万元，占0.00%；附属单位上缴收入0.00万元，占0.00%；其他收入0.27万元，占0.008%。</w:t>
      </w:r>
    </w:p>
    <w:p w14:paraId="5D98F8E7">
      <w:pPr>
        <w:spacing w:line="640" w:lineRule="exact"/>
        <w:ind w:firstLine="640"/>
        <w:jc w:val="both"/>
        <w:outlineLvl w:val="2"/>
      </w:pPr>
      <w:r>
        <w:rPr>
          <w:rFonts w:ascii="黑体" w:hAnsi="黑体" w:eastAsia="黑体"/>
          <w:sz w:val="32"/>
        </w:rPr>
        <w:t>三、支出决算情况说明</w:t>
      </w:r>
    </w:p>
    <w:p w14:paraId="23C1B358">
      <w:pPr>
        <w:spacing w:line="580" w:lineRule="exact"/>
        <w:ind w:firstLine="640"/>
        <w:jc w:val="both"/>
      </w:pPr>
      <w:r>
        <w:rPr>
          <w:rFonts w:ascii="仿宋_GB2312" w:hAnsi="仿宋_GB2312" w:eastAsia="仿宋_GB2312"/>
          <w:b/>
          <w:sz w:val="32"/>
        </w:rPr>
        <w:t>本年支出3,258.88万元，</w:t>
      </w:r>
      <w:r>
        <w:rPr>
          <w:rFonts w:ascii="仿宋_GB2312" w:hAnsi="仿宋_GB2312" w:eastAsia="仿宋_GB2312"/>
          <w:b w:val="0"/>
          <w:sz w:val="32"/>
        </w:rPr>
        <w:t>其中：基本支出3,045.88万元，占93.46%；项目支出213.00万元，占6.54%；上缴上级支出0.00万元，占0.00%；经营支出0.00万元，占0.00%；对附属单位补助支出0.00万元，占0.00%。</w:t>
      </w:r>
    </w:p>
    <w:p w14:paraId="5A8D197F">
      <w:pPr>
        <w:spacing w:line="640" w:lineRule="exact"/>
        <w:ind w:firstLine="640"/>
        <w:jc w:val="both"/>
        <w:outlineLvl w:val="2"/>
      </w:pPr>
      <w:r>
        <w:rPr>
          <w:rFonts w:ascii="黑体" w:hAnsi="黑体" w:eastAsia="黑体"/>
          <w:sz w:val="32"/>
        </w:rPr>
        <w:t>四、财政拨款收入支出决算总体情况说明</w:t>
      </w:r>
    </w:p>
    <w:p w14:paraId="76758BEC">
      <w:pPr>
        <w:spacing w:line="580" w:lineRule="exact"/>
        <w:ind w:firstLine="640"/>
        <w:jc w:val="both"/>
      </w:pPr>
      <w:r>
        <w:rPr>
          <w:rFonts w:ascii="仿宋_GB2312" w:hAnsi="仿宋_GB2312" w:eastAsia="仿宋_GB2312"/>
          <w:b/>
          <w:sz w:val="32"/>
        </w:rPr>
        <w:t>2025年度财政拨款收入总计3,258.61万元，</w:t>
      </w:r>
      <w:r>
        <w:rPr>
          <w:rFonts w:ascii="仿宋_GB2312" w:hAnsi="仿宋_GB2312" w:eastAsia="仿宋_GB2312"/>
          <w:b w:val="0"/>
          <w:sz w:val="32"/>
        </w:rPr>
        <w:t>其中：年初财政拨款结转和结余0.00万元，本年财政拨款收入3,258.61万元。</w:t>
      </w:r>
      <w:r>
        <w:rPr>
          <w:rFonts w:ascii="仿宋_GB2312" w:hAnsi="仿宋_GB2312" w:eastAsia="仿宋_GB2312"/>
          <w:b/>
          <w:sz w:val="32"/>
        </w:rPr>
        <w:t>财政拨款支出总计3,258.61万元，</w:t>
      </w:r>
      <w:r>
        <w:rPr>
          <w:rFonts w:ascii="仿宋_GB2312" w:hAnsi="仿宋_GB2312" w:eastAsia="仿宋_GB2312"/>
          <w:b w:val="0"/>
          <w:sz w:val="32"/>
        </w:rPr>
        <w:t>其中：年末财政拨款结转和结余0.00万元，本年财政拨款支出3,258.61万元。</w:t>
      </w:r>
    </w:p>
    <w:p w14:paraId="5C991D6B">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1,059.45万元，增长48.18%，主要原因是：本年机构改革，博乐市青得里第一小学合并至本单位，在职人员、退休人员增加，相应人员经费较上年增加；本年增加中央支持学前教育发展资金，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年初预算数3,073.18万元，决算数3,258.61万元，预决算差异率6.03%，主要原因是：年中追加人员工资、社保、公积金基数调增部分资金；年中追加学前教育发展资金，导致预决算存在差异。</w:t>
      </w:r>
    </w:p>
    <w:p w14:paraId="21A9CB8B">
      <w:pPr>
        <w:spacing w:line="640" w:lineRule="exact"/>
        <w:ind w:firstLine="640"/>
        <w:jc w:val="both"/>
        <w:outlineLvl w:val="2"/>
      </w:pPr>
      <w:r>
        <w:rPr>
          <w:rFonts w:ascii="黑体" w:hAnsi="黑体" w:eastAsia="黑体"/>
          <w:sz w:val="32"/>
        </w:rPr>
        <w:t>五、一般公共预算财政拨款支出决算情况说明</w:t>
      </w:r>
    </w:p>
    <w:p w14:paraId="6AF3EAB2">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事业优质发展等重点支出，体现在有关支出科目中。</w:t>
      </w:r>
    </w:p>
    <w:p w14:paraId="08D951AC">
      <w:pPr>
        <w:spacing w:line="580" w:lineRule="exact"/>
        <w:ind w:firstLine="640"/>
        <w:jc w:val="both"/>
      </w:pPr>
      <w:r>
        <w:rPr>
          <w:rFonts w:ascii="仿宋_GB2312" w:hAnsi="仿宋_GB2312" w:eastAsia="仿宋_GB2312"/>
          <w:b w:val="0"/>
          <w:sz w:val="32"/>
        </w:rPr>
        <w:t>按照支出功能分类，教育支出（类）普通教育（款）学前教育（项）的支出占本年财政拨款支出总额的比重最高，2025年度决算数为2,817.11万元，占比86.45%，主要用于人员工资福利，学前教育发展资金，学前教育公用</w:t>
      </w:r>
      <w:r>
        <w:rPr>
          <w:rFonts w:hint="eastAsia" w:ascii="仿宋_GB2312" w:hAnsi="仿宋_GB2312" w:eastAsia="仿宋_GB2312"/>
          <w:b w:val="0"/>
          <w:sz w:val="32"/>
          <w:lang w:eastAsia="zh-CN"/>
        </w:rPr>
        <w:t>经费</w:t>
      </w:r>
      <w:r>
        <w:rPr>
          <w:rFonts w:ascii="仿宋_GB2312" w:hAnsi="仿宋_GB2312" w:eastAsia="仿宋_GB2312"/>
          <w:b w:val="0"/>
          <w:sz w:val="32"/>
        </w:rPr>
        <w:t>等。</w:t>
      </w:r>
    </w:p>
    <w:p w14:paraId="5D59C136">
      <w:pPr>
        <w:spacing w:line="640" w:lineRule="exact"/>
        <w:ind w:firstLine="640"/>
        <w:jc w:val="both"/>
        <w:outlineLvl w:val="3"/>
      </w:pPr>
      <w:r>
        <w:rPr>
          <w:rFonts w:ascii="楷体_GB2312" w:hAnsi="楷体_GB2312" w:eastAsia="楷体_GB2312"/>
          <w:b/>
          <w:sz w:val="32"/>
        </w:rPr>
        <w:t>（一）一般公共预算财政拨款支出决算总体情况</w:t>
      </w:r>
    </w:p>
    <w:p w14:paraId="5E560AB1">
      <w:pPr>
        <w:spacing w:line="580" w:lineRule="exact"/>
        <w:ind w:firstLine="640"/>
        <w:jc w:val="both"/>
      </w:pPr>
      <w:r>
        <w:rPr>
          <w:rFonts w:ascii="仿宋_GB2312" w:hAnsi="仿宋_GB2312" w:eastAsia="仿宋_GB2312"/>
          <w:b/>
          <w:sz w:val="32"/>
        </w:rPr>
        <w:t>2025年度一般公共预算财政拨款支出3,189.17万元，</w:t>
      </w:r>
      <w:r>
        <w:rPr>
          <w:rFonts w:ascii="仿宋_GB2312" w:hAnsi="仿宋_GB2312" w:eastAsia="仿宋_GB2312"/>
          <w:b w:val="0"/>
          <w:sz w:val="32"/>
        </w:rPr>
        <w:t>占本年支出合计的97.86%。</w:t>
      </w:r>
      <w:r>
        <w:rPr>
          <w:rFonts w:ascii="仿宋_GB2312" w:hAnsi="仿宋_GB2312" w:eastAsia="仿宋_GB2312"/>
          <w:b/>
          <w:sz w:val="32"/>
        </w:rPr>
        <w:t>与上年相比，</w:t>
      </w:r>
      <w:r>
        <w:rPr>
          <w:rFonts w:ascii="仿宋_GB2312" w:hAnsi="仿宋_GB2312" w:eastAsia="仿宋_GB2312"/>
          <w:b w:val="0"/>
          <w:sz w:val="32"/>
        </w:rPr>
        <w:t>增加990.01万元，增长45.02%，主要原因是：本年机构改革，博乐市青得里第一小学合并至本单位，在职人员、退休人员增加，相应人员经费较上年增加；本年增加中央支持学前教育发展资金，导致经费较上年增加。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年初预算数3,073.18万元，决算数3,189.17万元，预决算差异率3.77%，主要原因是：年中追加人员工资、社保、公积金基数调增部分资金；年中追加学前教育发展资金，导致预决算存在差异。</w:t>
      </w:r>
    </w:p>
    <w:p w14:paraId="217C9491">
      <w:pPr>
        <w:spacing w:line="640" w:lineRule="exact"/>
        <w:ind w:firstLine="640"/>
        <w:jc w:val="both"/>
        <w:outlineLvl w:val="3"/>
      </w:pPr>
      <w:r>
        <w:rPr>
          <w:rFonts w:ascii="楷体_GB2312" w:hAnsi="楷体_GB2312" w:eastAsia="楷体_GB2312"/>
          <w:b/>
          <w:sz w:val="32"/>
        </w:rPr>
        <w:t>（二）一般公共预算财政拨款支出决算结构情况</w:t>
      </w:r>
    </w:p>
    <w:p w14:paraId="2B6C8BE2">
      <w:pPr>
        <w:spacing w:line="580" w:lineRule="exact"/>
        <w:ind w:firstLine="640"/>
        <w:jc w:val="both"/>
      </w:pPr>
      <w:r>
        <w:rPr>
          <w:rFonts w:ascii="仿宋_GB2312" w:hAnsi="仿宋_GB2312" w:eastAsia="仿宋_GB2312"/>
          <w:b w:val="0"/>
          <w:sz w:val="32"/>
        </w:rPr>
        <w:t>1.教育支出（类）3,189.17万元，占100.00%。</w:t>
      </w:r>
    </w:p>
    <w:p w14:paraId="4B715574">
      <w:pPr>
        <w:spacing w:line="640" w:lineRule="exact"/>
        <w:ind w:firstLine="640"/>
        <w:jc w:val="both"/>
        <w:outlineLvl w:val="3"/>
      </w:pPr>
      <w:r>
        <w:rPr>
          <w:rFonts w:ascii="楷体_GB2312" w:hAnsi="楷体_GB2312" w:eastAsia="楷体_GB2312"/>
          <w:b/>
          <w:sz w:val="32"/>
        </w:rPr>
        <w:t>（三）一般公共预算财政拨款支出决算具体情况</w:t>
      </w:r>
    </w:p>
    <w:p w14:paraId="0CDEDAF2">
      <w:pPr>
        <w:spacing w:line="580" w:lineRule="exact"/>
        <w:ind w:firstLine="640"/>
        <w:jc w:val="both"/>
      </w:pPr>
      <w:r>
        <w:rPr>
          <w:rFonts w:ascii="仿宋_GB2312" w:hAnsi="仿宋_GB2312" w:eastAsia="仿宋_GB2312"/>
          <w:b w:val="0"/>
          <w:sz w:val="32"/>
        </w:rPr>
        <w:t>1.教育支出（类）普通教育（款）学前教育（项）：支出决算数为2,817.11万元，比上年决算增加617.95万元，增长28.10%，主要原因是：本年在职人员工资调增，工资等人员经费较上年增加；本年增加中央支持学前教育发展资金，导致经费较上年增加。</w:t>
      </w:r>
    </w:p>
    <w:p w14:paraId="58CFA00A">
      <w:pPr>
        <w:spacing w:line="580" w:lineRule="exact"/>
        <w:ind w:firstLine="640"/>
        <w:jc w:val="both"/>
      </w:pPr>
      <w:r>
        <w:rPr>
          <w:rFonts w:ascii="仿宋_GB2312" w:hAnsi="仿宋_GB2312" w:eastAsia="仿宋_GB2312"/>
          <w:b w:val="0"/>
          <w:sz w:val="32"/>
        </w:rPr>
        <w:t>2.教育支出（类）普通教育（款）小学教育（项）：支出决算数为372.05万元，比上年决算增加372.05万元，增长100.00%，主要原因是：本年机构改革，博乐市青得里第一小学合并至本单位，在职人员、退休人员增加，相应人员经费较上年增加。</w:t>
      </w:r>
    </w:p>
    <w:p w14:paraId="3A901327">
      <w:pPr>
        <w:spacing w:line="640" w:lineRule="exact"/>
        <w:ind w:firstLine="640"/>
        <w:jc w:val="both"/>
        <w:outlineLvl w:val="2"/>
      </w:pPr>
      <w:r>
        <w:rPr>
          <w:rFonts w:ascii="黑体" w:hAnsi="黑体" w:eastAsia="黑体"/>
          <w:sz w:val="32"/>
        </w:rPr>
        <w:t>六、一般公共预算财政拨款基本支出决算情况说明</w:t>
      </w:r>
    </w:p>
    <w:p w14:paraId="335F79EA">
      <w:pPr>
        <w:spacing w:line="580" w:lineRule="exact"/>
        <w:ind w:firstLine="640"/>
        <w:jc w:val="both"/>
      </w:pPr>
      <w:r>
        <w:rPr>
          <w:rFonts w:ascii="仿宋_GB2312" w:hAnsi="仿宋_GB2312" w:eastAsia="仿宋_GB2312"/>
          <w:b w:val="0"/>
          <w:sz w:val="32"/>
        </w:rPr>
        <w:t>2025年度一般公共预算财政拨款基本支出3,045.61万元，其中：</w:t>
      </w:r>
      <w:r>
        <w:rPr>
          <w:rFonts w:ascii="仿宋_GB2312" w:hAnsi="仿宋_GB2312" w:eastAsia="仿宋_GB2312"/>
          <w:b/>
          <w:sz w:val="32"/>
        </w:rPr>
        <w:t>人员经费3,013.27万元，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14:paraId="794737DB">
      <w:pPr>
        <w:spacing w:line="580" w:lineRule="exact"/>
        <w:ind w:firstLine="640"/>
        <w:jc w:val="both"/>
      </w:pPr>
      <w:r>
        <w:rPr>
          <w:rFonts w:ascii="仿宋_GB2312" w:hAnsi="仿宋_GB2312" w:eastAsia="仿宋_GB2312"/>
          <w:b/>
          <w:sz w:val="32"/>
        </w:rPr>
        <w:t>公用经费32.34万元，</w:t>
      </w:r>
      <w:r>
        <w:rPr>
          <w:rFonts w:ascii="仿宋_GB2312" w:hAnsi="仿宋_GB2312" w:eastAsia="仿宋_GB2312"/>
          <w:b w:val="0"/>
          <w:sz w:val="32"/>
        </w:rPr>
        <w:t>包括：工会经费、福利费。</w:t>
      </w:r>
    </w:p>
    <w:p w14:paraId="44639A18">
      <w:pPr>
        <w:spacing w:line="640" w:lineRule="exact"/>
        <w:ind w:firstLine="640"/>
        <w:jc w:val="both"/>
        <w:outlineLvl w:val="2"/>
      </w:pPr>
      <w:r>
        <w:rPr>
          <w:rFonts w:ascii="黑体" w:hAnsi="黑体" w:eastAsia="黑体"/>
          <w:sz w:val="32"/>
        </w:rPr>
        <w:t>七、政府性基金预算财政拨款收入支出决算情况说明</w:t>
      </w:r>
    </w:p>
    <w:p w14:paraId="02C2E967">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事业发展等重点支出，体现在有关支出科目中。</w:t>
      </w:r>
    </w:p>
    <w:p w14:paraId="203B872A">
      <w:pPr>
        <w:spacing w:line="580" w:lineRule="exact"/>
        <w:ind w:firstLine="640"/>
        <w:jc w:val="both"/>
      </w:pPr>
      <w:r>
        <w:rPr>
          <w:rFonts w:ascii="仿宋_GB2312" w:hAnsi="仿宋_GB2312" w:eastAsia="仿宋_GB2312"/>
          <w:b/>
          <w:sz w:val="32"/>
        </w:rPr>
        <w:t>2025年度政府性基金预算财政拨款收入总计69.44万元，</w:t>
      </w:r>
      <w:r>
        <w:rPr>
          <w:rFonts w:ascii="仿宋_GB2312" w:hAnsi="仿宋_GB2312" w:eastAsia="仿宋_GB2312"/>
          <w:b w:val="0"/>
          <w:sz w:val="32"/>
        </w:rPr>
        <w:t>其中：年初结转和结余0.00万元，本年收入69.44万元。</w:t>
      </w:r>
      <w:r>
        <w:rPr>
          <w:rFonts w:ascii="仿宋_GB2312" w:hAnsi="仿宋_GB2312" w:eastAsia="仿宋_GB2312"/>
          <w:b/>
          <w:sz w:val="32"/>
        </w:rPr>
        <w:t>政府性基金预算财政拨款支出总计69.44万元，</w:t>
      </w:r>
      <w:r>
        <w:rPr>
          <w:rFonts w:ascii="仿宋_GB2312" w:hAnsi="仿宋_GB2312" w:eastAsia="仿宋_GB2312"/>
          <w:b w:val="0"/>
          <w:sz w:val="32"/>
        </w:rPr>
        <w:t>其中：年末结转和结余0.00万元，本年支出69.44万元。</w:t>
      </w:r>
    </w:p>
    <w:p w14:paraId="3CDA12AB">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增加69.44万元，增长100.00%，主要原因是：本年增加托郭生布呼村幼儿园建设项目，导致经费较上年增加。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年初预算数0.00万元，决算数69.44万元，预决算差异率100.00%，主要原因是：年中追加托郭生布呼村幼儿园建设项目，导致预决算存在差异。</w:t>
      </w:r>
    </w:p>
    <w:p w14:paraId="4F41D9C6">
      <w:pPr>
        <w:spacing w:line="580" w:lineRule="exact"/>
        <w:ind w:firstLine="640"/>
        <w:jc w:val="both"/>
      </w:pPr>
      <w:r>
        <w:rPr>
          <w:rFonts w:ascii="仿宋_GB2312" w:hAnsi="仿宋_GB2312" w:eastAsia="仿宋_GB2312"/>
          <w:b w:val="0"/>
          <w:sz w:val="32"/>
        </w:rPr>
        <w:t>政府性基金预算财政拨款本年支出69.44万元。具体情况如下：</w:t>
      </w:r>
    </w:p>
    <w:p w14:paraId="08E72ED5">
      <w:pPr>
        <w:spacing w:line="580" w:lineRule="exact"/>
        <w:ind w:firstLine="640"/>
        <w:jc w:val="both"/>
      </w:pPr>
      <w:r>
        <w:rPr>
          <w:rFonts w:ascii="仿宋_GB2312" w:hAnsi="仿宋_GB2312" w:eastAsia="仿宋_GB2312"/>
          <w:b w:val="0"/>
          <w:sz w:val="32"/>
        </w:rPr>
        <w:t>1.其他支出（类）其他政府性基金及对应专项债务收入安排的支出（款）其他政府性基金债务收入安排的支出（项）：支出决算数为69.44万元，比上年决算增加69.44万元，增长100.00%，主要原因是：本年增加托郭生布呼村幼儿园建设项目，导致经费较上年增加。</w:t>
      </w:r>
    </w:p>
    <w:p w14:paraId="744E9CFF">
      <w:pPr>
        <w:spacing w:line="640" w:lineRule="exact"/>
        <w:ind w:firstLine="640"/>
        <w:jc w:val="both"/>
        <w:outlineLvl w:val="2"/>
      </w:pPr>
      <w:r>
        <w:rPr>
          <w:rFonts w:ascii="黑体" w:hAnsi="黑体" w:eastAsia="黑体"/>
          <w:sz w:val="32"/>
        </w:rPr>
        <w:t>八、国有资本经营预算财政拨款收入支出决算情况说明</w:t>
      </w:r>
    </w:p>
    <w:p w14:paraId="66BA8EF4">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21858C0A">
      <w:pPr>
        <w:spacing w:line="640" w:lineRule="exact"/>
        <w:ind w:firstLine="640"/>
        <w:jc w:val="both"/>
        <w:outlineLvl w:val="2"/>
      </w:pPr>
      <w:r>
        <w:rPr>
          <w:rFonts w:ascii="黑体" w:hAnsi="黑体" w:eastAsia="黑体"/>
          <w:sz w:val="32"/>
        </w:rPr>
        <w:t>九、财政拨款“三公”经费支出决算情况说明</w:t>
      </w:r>
    </w:p>
    <w:p w14:paraId="21C7141A">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30EEDFDF">
      <w:pPr>
        <w:spacing w:line="580" w:lineRule="exact"/>
        <w:ind w:firstLine="640"/>
        <w:jc w:val="both"/>
      </w:pPr>
      <w:r>
        <w:rPr>
          <w:rFonts w:ascii="仿宋_GB2312" w:hAnsi="仿宋_GB2312" w:eastAsia="仿宋_GB2312"/>
          <w:b/>
          <w:sz w:val="32"/>
        </w:rPr>
        <w:t>具体情况如下：</w:t>
      </w:r>
    </w:p>
    <w:p w14:paraId="6F0A48BE">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6F008C55">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14:paraId="2B6A7258">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2E664606">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1C9D89F8">
      <w:pPr>
        <w:spacing w:line="640" w:lineRule="exact"/>
        <w:ind w:firstLine="640"/>
        <w:jc w:val="both"/>
        <w:outlineLvl w:val="2"/>
      </w:pPr>
      <w:r>
        <w:rPr>
          <w:rFonts w:ascii="黑体" w:hAnsi="黑体" w:eastAsia="黑体"/>
          <w:sz w:val="32"/>
        </w:rPr>
        <w:t>十、其他重要事项的情况说明</w:t>
      </w:r>
    </w:p>
    <w:p w14:paraId="0373241B">
      <w:pPr>
        <w:spacing w:line="640" w:lineRule="exact"/>
        <w:ind w:firstLine="640"/>
        <w:jc w:val="both"/>
        <w:outlineLvl w:val="3"/>
      </w:pPr>
      <w:r>
        <w:rPr>
          <w:rFonts w:ascii="楷体_GB2312" w:hAnsi="楷体_GB2312" w:eastAsia="楷体_GB2312"/>
          <w:b/>
          <w:sz w:val="32"/>
        </w:rPr>
        <w:t>（一）机关运行经费及公用经费支出情况</w:t>
      </w:r>
    </w:p>
    <w:p w14:paraId="56F703E0">
      <w:pPr>
        <w:spacing w:line="580" w:lineRule="exact"/>
        <w:ind w:firstLine="640"/>
        <w:jc w:val="both"/>
      </w:pPr>
      <w:r>
        <w:rPr>
          <w:rFonts w:ascii="仿宋_GB2312" w:hAnsi="仿宋_GB2312" w:eastAsia="仿宋_GB2312"/>
          <w:b w:val="0"/>
          <w:sz w:val="32"/>
        </w:rPr>
        <w:t>2025年度博乐市青得里中心学校（事业单位）公用经费支出32.34万元，比上年增加8.10万元，增长33.42%，主要原因是：本年增加工会经费、福利费，导致经费较上年增加。</w:t>
      </w:r>
    </w:p>
    <w:p w14:paraId="1C004D3E">
      <w:pPr>
        <w:spacing w:line="640" w:lineRule="exact"/>
        <w:ind w:firstLine="640"/>
        <w:jc w:val="both"/>
        <w:outlineLvl w:val="3"/>
      </w:pPr>
      <w:r>
        <w:rPr>
          <w:rFonts w:ascii="楷体_GB2312" w:hAnsi="楷体_GB2312" w:eastAsia="楷体_GB2312"/>
          <w:b/>
          <w:sz w:val="32"/>
        </w:rPr>
        <w:t>（二）政府采购情况</w:t>
      </w:r>
    </w:p>
    <w:p w14:paraId="145DB67D">
      <w:pPr>
        <w:spacing w:line="580" w:lineRule="exact"/>
        <w:ind w:firstLine="640"/>
        <w:jc w:val="both"/>
      </w:pPr>
      <w:r>
        <w:rPr>
          <w:rFonts w:ascii="仿宋_GB2312" w:hAnsi="仿宋_GB2312" w:eastAsia="仿宋_GB2312"/>
          <w:b w:val="0"/>
          <w:sz w:val="32"/>
        </w:rPr>
        <w:t>2025年度政府采购支出总额101.69万元，其中：政府采购货物支出50.64万元、政府采购工程支出38.48万元、政府采购服务支出12.57万元。</w:t>
      </w:r>
    </w:p>
    <w:p w14:paraId="22055561">
      <w:pPr>
        <w:spacing w:line="580" w:lineRule="exact"/>
        <w:ind w:firstLine="640"/>
        <w:jc w:val="both"/>
      </w:pPr>
      <w:r>
        <w:rPr>
          <w:rFonts w:ascii="仿宋_GB2312" w:hAnsi="仿宋_GB2312" w:eastAsia="仿宋_GB2312"/>
          <w:b w:val="0"/>
          <w:sz w:val="32"/>
        </w:rPr>
        <w:t>授予中小企业合同金额101.69万元，占政府采购支出总额的100.00%，其中：授予小微企业合同金额88.91万元，占政府采购支出总额的87.43%。</w:t>
      </w:r>
    </w:p>
    <w:p w14:paraId="45960496">
      <w:pPr>
        <w:spacing w:line="640" w:lineRule="exact"/>
        <w:ind w:firstLine="640"/>
        <w:jc w:val="both"/>
        <w:outlineLvl w:val="3"/>
      </w:pPr>
      <w:r>
        <w:rPr>
          <w:rFonts w:ascii="楷体_GB2312" w:hAnsi="楷体_GB2312" w:eastAsia="楷体_GB2312"/>
          <w:b/>
          <w:sz w:val="32"/>
        </w:rPr>
        <w:t>（三）国有资产占用情况说明</w:t>
      </w:r>
    </w:p>
    <w:p w14:paraId="4DC8DC2C">
      <w:pPr>
        <w:spacing w:line="580" w:lineRule="exact"/>
        <w:ind w:firstLine="640"/>
        <w:jc w:val="both"/>
      </w:pPr>
      <w:r>
        <w:rPr>
          <w:rFonts w:ascii="仿宋_GB2312" w:hAnsi="仿宋_GB2312" w:eastAsia="仿宋_GB2312"/>
          <w:b w:val="0"/>
          <w:sz w:val="32"/>
        </w:rPr>
        <w:t>截至2025年12月31日，房屋14,226.38平方米，价值2,432.39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0344A984">
      <w:pPr>
        <w:spacing w:line="640" w:lineRule="exact"/>
        <w:ind w:firstLine="640"/>
        <w:jc w:val="both"/>
        <w:outlineLvl w:val="2"/>
      </w:pPr>
      <w:r>
        <w:rPr>
          <w:rFonts w:ascii="黑体" w:hAnsi="黑体" w:eastAsia="黑体"/>
          <w:sz w:val="32"/>
        </w:rPr>
        <w:t>十一、预算绩效的情况说明</w:t>
      </w:r>
    </w:p>
    <w:p w14:paraId="624FACCF">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3,258.96万元，实际执行总额3,258.88万元；预算绩效评价项目0个，全年预算数0.00万元，全年执行数0.00万元。预算绩效管理取得的成效：本单位本年无项目绩效。发现的问题及原因：本单位本年无项目绩效。下一步改进措施：本单位本年无项目绩效。具体附整体支出绩效自评表。</w:t>
      </w:r>
    </w:p>
    <w:p w14:paraId="27CB6C34">
      <w:r>
        <w:br w:type="page"/>
      </w:r>
    </w:p>
    <w:tbl>
      <w:tblPr>
        <w:tblStyle w:val="8"/>
        <w:tblW w:w="0" w:type="auto"/>
        <w:tblInd w:w="0" w:type="dxa"/>
        <w:tblLayout w:type="autofit"/>
        <w:tblCellMar>
          <w:top w:w="0" w:type="dxa"/>
          <w:left w:w="108" w:type="dxa"/>
          <w:bottom w:w="0" w:type="dxa"/>
          <w:right w:w="108" w:type="dxa"/>
        </w:tblCellMar>
      </w:tblPr>
      <w:tblGrid>
        <w:gridCol w:w="982"/>
        <w:gridCol w:w="983"/>
        <w:gridCol w:w="982"/>
        <w:gridCol w:w="983"/>
        <w:gridCol w:w="983"/>
        <w:gridCol w:w="983"/>
        <w:gridCol w:w="982"/>
        <w:gridCol w:w="983"/>
        <w:gridCol w:w="983"/>
      </w:tblGrid>
      <w:tr w14:paraId="3FE3B1EB">
        <w:tblPrEx>
          <w:tblCellMar>
            <w:top w:w="0" w:type="dxa"/>
            <w:left w:w="108" w:type="dxa"/>
            <w:bottom w:w="0" w:type="dxa"/>
            <w:right w:w="108" w:type="dxa"/>
          </w:tblCellMar>
        </w:tblPrEx>
        <w:tc>
          <w:tcPr>
            <w:tcW w:w="983" w:type="dxa"/>
            <w:gridSpan w:val="9"/>
            <w:vAlign w:val="center"/>
          </w:tcPr>
          <w:p w14:paraId="14014B36">
            <w:pPr>
              <w:jc w:val="center"/>
            </w:pPr>
            <w:r>
              <w:rPr>
                <w:rFonts w:ascii="宋体" w:hAnsi="宋体" w:eastAsia="宋体" w:cs="宋体"/>
                <w:sz w:val="24"/>
              </w:rPr>
              <w:t>单位整体支出绩效自评表</w:t>
            </w:r>
          </w:p>
        </w:tc>
      </w:tr>
      <w:tr w14:paraId="3A421D6D">
        <w:tblPrEx>
          <w:tblCellMar>
            <w:top w:w="0" w:type="dxa"/>
            <w:left w:w="108" w:type="dxa"/>
            <w:bottom w:w="0" w:type="dxa"/>
            <w:right w:w="108" w:type="dxa"/>
          </w:tblCellMar>
        </w:tblPrEx>
        <w:tc>
          <w:tcPr>
            <w:tcW w:w="983" w:type="dxa"/>
            <w:gridSpan w:val="9"/>
            <w:vAlign w:val="center"/>
          </w:tcPr>
          <w:p w14:paraId="1304D2F5">
            <w:pPr>
              <w:jc w:val="center"/>
            </w:pPr>
            <w:r>
              <w:rPr>
                <w:rFonts w:ascii="宋体" w:hAnsi="宋体" w:eastAsia="宋体" w:cs="宋体"/>
                <w:sz w:val="24"/>
              </w:rPr>
              <w:t>（2025年度）</w:t>
            </w:r>
          </w:p>
        </w:tc>
      </w:tr>
      <w:tr w14:paraId="7B3F50D5">
        <w:tblPrEx>
          <w:tblCellMar>
            <w:top w:w="0" w:type="dxa"/>
            <w:left w:w="108" w:type="dxa"/>
            <w:bottom w:w="0" w:type="dxa"/>
            <w:right w:w="108" w:type="dxa"/>
          </w:tblCellMar>
        </w:tblPrEx>
        <w:trPr>
          <w:cantSplit/>
        </w:trPr>
        <w:tc>
          <w:tcPr>
            <w:tcBorders>
              <w:top w:val="single" w:color="auto" w:sz="10" w:space="0"/>
              <w:left w:val="single" w:color="auto" w:sz="10" w:space="0"/>
              <w:bottom w:val="single" w:color="auto" w:sz="10" w:space="0"/>
              <w:right w:val="single" w:color="auto" w:sz="10" w:space="0"/>
              <w:insideV w:val="single" w:sz="10" w:space="0"/>
            </w:tcBorders>
            <w:vAlign w:val="center"/>
          </w:tcPr>
          <w:p w14:paraId="5E6D6BEB">
            <w:pPr>
              <w:jc w:val="center"/>
            </w:pPr>
            <w:r>
              <w:rPr>
                <w:rFonts w:ascii="宋体" w:hAnsi="宋体" w:eastAsia="宋体" w:cs="宋体"/>
                <w:sz w:val="16"/>
              </w:rPr>
              <w:t>单位名称</w:t>
            </w:r>
          </w:p>
        </w:tc>
        <w:tc>
          <w:tcPr>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E96862A">
            <w:pPr>
              <w:jc w:val="center"/>
            </w:pPr>
            <w:r>
              <w:rPr>
                <w:rFonts w:ascii="宋体" w:hAnsi="宋体" w:eastAsia="宋体" w:cs="宋体"/>
                <w:sz w:val="16"/>
              </w:rPr>
              <w:t>博乐市青得里中心学校</w:t>
            </w:r>
          </w:p>
        </w:tc>
      </w:tr>
      <w:tr w14:paraId="63ED24FF">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0F6A8">
            <w:pPr>
              <w:jc w:val="center"/>
            </w:pPr>
            <w:r>
              <w:rPr>
                <w:rFonts w:ascii="宋体" w:hAnsi="宋体" w:eastAsia="宋体" w:cs="宋体"/>
                <w:sz w:val="16"/>
              </w:rPr>
              <w:t>部门资金（万元）</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FE0401">
            <w:pPr>
              <w:jc w:val="center"/>
            </w:pPr>
            <w:r>
              <w:rPr>
                <w:rFonts w:ascii="宋体" w:hAnsi="宋体" w:eastAsia="宋体" w:cs="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A430C8">
            <w:pPr>
              <w:jc w:val="center"/>
            </w:pPr>
            <w:r>
              <w:rPr>
                <w:rFonts w:ascii="宋体" w:hAnsi="宋体" w:eastAsia="宋体" w:cs="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DA6CF1">
            <w:pPr>
              <w:jc w:val="center"/>
            </w:pPr>
            <w:r>
              <w:rPr>
                <w:rFonts w:ascii="宋体" w:hAnsi="宋体" w:eastAsia="宋体" w:cs="宋体"/>
                <w:sz w:val="16"/>
              </w:rPr>
              <w:t>预算数（调整后）</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A7AB96">
            <w:pPr>
              <w:jc w:val="center"/>
            </w:pPr>
            <w:r>
              <w:rPr>
                <w:rFonts w:ascii="宋体" w:hAnsi="宋体" w:eastAsia="宋体" w:cs="宋体"/>
                <w:sz w:val="16"/>
              </w:rPr>
              <w:t>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840E48">
            <w:pPr>
              <w:jc w:val="center"/>
            </w:pPr>
            <w:r>
              <w:rPr>
                <w:rFonts w:ascii="宋体" w:hAnsi="宋体" w:eastAsia="宋体" w:cs="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1B5F6C">
            <w:pPr>
              <w:jc w:val="center"/>
            </w:pPr>
            <w:r>
              <w:rPr>
                <w:rFonts w:ascii="宋体" w:hAnsi="宋体" w:eastAsia="宋体" w:cs="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53641D">
            <w:pPr>
              <w:jc w:val="center"/>
            </w:pPr>
            <w:r>
              <w:rPr>
                <w:rFonts w:ascii="宋体" w:hAnsi="宋体" w:eastAsia="宋体" w:cs="宋体"/>
                <w:sz w:val="16"/>
              </w:rPr>
              <w:t>得分</w:t>
            </w:r>
          </w:p>
        </w:tc>
      </w:tr>
      <w:tr w14:paraId="41CF040C">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E12C48"/>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3F3C74">
            <w:pPr>
              <w:jc w:val="center"/>
            </w:pPr>
            <w:r>
              <w:rPr>
                <w:rFonts w:ascii="宋体" w:hAnsi="宋体" w:eastAsia="宋体" w:cs="宋体"/>
                <w:sz w:val="16"/>
              </w:rPr>
              <w:t>财政资金（万元）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1FF545">
            <w:pPr>
              <w:jc w:val="center"/>
            </w:pPr>
            <w:r>
              <w:rPr>
                <w:rFonts w:ascii="宋体" w:hAnsi="宋体" w:eastAsia="宋体" w:cs="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4DED08">
            <w:pPr>
              <w:jc w:val="center"/>
            </w:pPr>
            <w:r>
              <w:rPr>
                <w:rFonts w:ascii="宋体" w:hAnsi="宋体" w:eastAsia="宋体" w:cs="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586D1A">
            <w:pPr>
              <w:jc w:val="center"/>
            </w:pPr>
            <w:r>
              <w:rPr>
                <w:rFonts w:ascii="宋体" w:hAnsi="宋体" w:eastAsia="宋体" w:cs="宋体"/>
                <w:sz w:val="16"/>
              </w:rPr>
              <w:t>75.23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30E3E6">
            <w:pPr>
              <w:jc w:val="center"/>
            </w:pPr>
            <w:r>
              <w:rPr>
                <w:rFonts w:ascii="宋体" w:hAnsi="宋体" w:eastAsia="宋体" w:cs="宋体"/>
                <w:sz w:val="16"/>
              </w:rPr>
              <w:t>75.15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BF92B6">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A2EF4E">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F84331">
            <w:pPr>
              <w:jc w:val="center"/>
            </w:pPr>
            <w:r>
              <w:rPr>
                <w:rFonts w:ascii="宋体" w:hAnsi="宋体" w:eastAsia="宋体" w:cs="宋体"/>
                <w:sz w:val="16"/>
              </w:rPr>
              <w:t>-</w:t>
            </w:r>
          </w:p>
        </w:tc>
      </w:tr>
      <w:tr w14:paraId="17D71B97">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44A9D1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F47D5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86D820">
            <w:pPr>
              <w:jc w:val="center"/>
            </w:pPr>
            <w:r>
              <w:rPr>
                <w:rFonts w:ascii="宋体" w:hAnsi="宋体" w:eastAsia="宋体" w:cs="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E10560">
            <w:pPr>
              <w:jc w:val="center"/>
            </w:pPr>
            <w:r>
              <w:rPr>
                <w:rFonts w:ascii="宋体" w:hAnsi="宋体" w:eastAsia="宋体" w:cs="宋体"/>
                <w:sz w:val="16"/>
              </w:rPr>
              <w:t>2,262.11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2545BA">
            <w:pPr>
              <w:jc w:val="center"/>
            </w:pPr>
            <w:r>
              <w:rPr>
                <w:rFonts w:ascii="宋体" w:hAnsi="宋体" w:eastAsia="宋体" w:cs="宋体"/>
                <w:sz w:val="16"/>
              </w:rPr>
              <w:t>3,183.46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045923">
            <w:pPr>
              <w:jc w:val="center"/>
            </w:pPr>
            <w:r>
              <w:rPr>
                <w:rFonts w:ascii="宋体" w:hAnsi="宋体" w:eastAsia="宋体" w:cs="宋体"/>
                <w:sz w:val="16"/>
              </w:rPr>
              <w:t>3,183.46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27453B">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8E04B4">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57AE31">
            <w:pPr>
              <w:jc w:val="center"/>
            </w:pPr>
            <w:r>
              <w:rPr>
                <w:rFonts w:ascii="宋体" w:hAnsi="宋体" w:eastAsia="宋体" w:cs="宋体"/>
                <w:sz w:val="16"/>
              </w:rPr>
              <w:t>-</w:t>
            </w:r>
          </w:p>
        </w:tc>
      </w:tr>
      <w:tr w14:paraId="631816B0">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6656F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ED6532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99F6A8">
            <w:pPr>
              <w:jc w:val="center"/>
            </w:pPr>
            <w:r>
              <w:rPr>
                <w:rFonts w:ascii="宋体" w:hAnsi="宋体" w:eastAsia="宋体" w:cs="宋体"/>
                <w:sz w:val="16"/>
              </w:rPr>
              <w:t>其他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9CFB90">
            <w:pPr>
              <w:jc w:val="center"/>
            </w:pPr>
            <w:r>
              <w:rPr>
                <w:rFonts w:ascii="宋体" w:hAnsi="宋体" w:eastAsia="宋体" w:cs="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4A8332">
            <w:pPr>
              <w:jc w:val="center"/>
            </w:pPr>
            <w:r>
              <w:rPr>
                <w:rFonts w:ascii="宋体" w:hAnsi="宋体" w:eastAsia="宋体" w:cs="宋体"/>
                <w:sz w:val="16"/>
              </w:rPr>
              <w:t>0.27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D3426F">
            <w:pPr>
              <w:jc w:val="center"/>
            </w:pPr>
            <w:r>
              <w:rPr>
                <w:rFonts w:ascii="宋体" w:hAnsi="宋体" w:eastAsia="宋体" w:cs="宋体"/>
                <w:sz w:val="16"/>
              </w:rPr>
              <w:t>0.27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C84DEC">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EC4D2A">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D32572">
            <w:pPr>
              <w:jc w:val="center"/>
            </w:pPr>
            <w:r>
              <w:rPr>
                <w:rFonts w:ascii="宋体" w:hAnsi="宋体" w:eastAsia="宋体" w:cs="宋体"/>
                <w:sz w:val="16"/>
              </w:rPr>
              <w:t>-</w:t>
            </w:r>
          </w:p>
        </w:tc>
      </w:tr>
      <w:tr w14:paraId="3513E59A">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E96397F"/>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7B7556">
            <w:pPr>
              <w:jc w:val="center"/>
            </w:pPr>
            <w:r>
              <w:rPr>
                <w:rFonts w:ascii="宋体" w:hAnsi="宋体" w:eastAsia="宋体" w:cs="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FA0FF9">
            <w:pPr>
              <w:jc w:val="center"/>
            </w:pPr>
            <w:r>
              <w:rPr>
                <w:rFonts w:ascii="宋体" w:hAnsi="宋体" w:eastAsia="宋体" w:cs="宋体"/>
                <w:sz w:val="16"/>
              </w:rPr>
              <w:t>2,262.11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72008D">
            <w:pPr>
              <w:jc w:val="center"/>
            </w:pPr>
            <w:r>
              <w:rPr>
                <w:rFonts w:ascii="宋体" w:hAnsi="宋体" w:eastAsia="宋体" w:cs="宋体"/>
                <w:sz w:val="16"/>
              </w:rPr>
              <w:t>3,258.96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021EA1">
            <w:pPr>
              <w:jc w:val="center"/>
            </w:pPr>
            <w:r>
              <w:rPr>
                <w:rFonts w:ascii="宋体" w:hAnsi="宋体" w:eastAsia="宋体" w:cs="宋体"/>
                <w:sz w:val="16"/>
              </w:rPr>
              <w:t>3,258.88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76AEFE">
            <w:pPr>
              <w:jc w:val="center"/>
            </w:pPr>
            <w:r>
              <w:rPr>
                <w:rFonts w:ascii="宋体" w:hAnsi="宋体" w:eastAsia="宋体" w:cs="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A67269">
            <w:pPr>
              <w:jc w:val="center"/>
            </w:pPr>
            <w:r>
              <w:rPr>
                <w:rFonts w:ascii="宋体" w:hAnsi="宋体" w:eastAsia="宋体" w:cs="宋体"/>
                <w:sz w:val="16"/>
              </w:rPr>
              <w:t>100.00%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7FA599">
            <w:pPr>
              <w:jc w:val="center"/>
            </w:pPr>
            <w:r>
              <w:rPr>
                <w:rFonts w:ascii="宋体" w:hAnsi="宋体" w:eastAsia="宋体" w:cs="宋体"/>
                <w:sz w:val="16"/>
              </w:rPr>
              <w:t>10.00</w:t>
            </w:r>
          </w:p>
        </w:tc>
      </w:tr>
      <w:tr w14:paraId="538BE95A">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64E30F">
            <w:pPr>
              <w:jc w:val="center"/>
            </w:pPr>
            <w:r>
              <w:rPr>
                <w:rFonts w:ascii="宋体" w:hAnsi="宋体" w:eastAsia="宋体" w:cs="宋体"/>
                <w:sz w:val="16"/>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52F0A24">
            <w:pPr>
              <w:jc w:val="center"/>
            </w:pPr>
            <w:r>
              <w:rPr>
                <w:rFonts w:ascii="宋体" w:hAnsi="宋体" w:eastAsia="宋体" w:cs="宋体"/>
                <w:sz w:val="16"/>
              </w:rPr>
              <w:t>预期目标</w:t>
            </w:r>
          </w:p>
        </w:tc>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8CEEDE">
            <w:pPr>
              <w:jc w:val="center"/>
            </w:pPr>
            <w:r>
              <w:rPr>
                <w:rFonts w:ascii="宋体" w:hAnsi="宋体" w:eastAsia="宋体" w:cs="宋体"/>
                <w:sz w:val="16"/>
              </w:rPr>
              <w:t>实际完成情况</w:t>
            </w:r>
          </w:p>
        </w:tc>
      </w:tr>
      <w:tr w14:paraId="69C98638">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4D7559"/>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64668BF">
            <w:pPr>
              <w:jc w:val="both"/>
            </w:pPr>
            <w:r>
              <w:rPr>
                <w:rFonts w:ascii="宋体" w:hAnsi="宋体" w:eastAsia="宋体" w:cs="宋体"/>
                <w:sz w:val="16"/>
              </w:rPr>
              <w:t>单位基本职能：</w:t>
            </w:r>
            <w:r>
              <w:rPr>
                <w:rFonts w:hint="eastAsia" w:ascii="宋体" w:hAnsi="宋体" w:cs="宋体"/>
                <w:sz w:val="16"/>
                <w:lang w:eastAsia="zh-CN"/>
              </w:rPr>
              <w:t>全面</w:t>
            </w:r>
            <w:r>
              <w:rPr>
                <w:rFonts w:ascii="宋体" w:hAnsi="宋体" w:eastAsia="宋体" w:cs="宋体"/>
                <w:sz w:val="16"/>
              </w:rPr>
              <w:t>加强党对教育工作的全面领导，持续做好3年免费教育，加大“控辍保学”力度，不断优化教师队伍结构，提高国家通用语言文字授课能力和办学质量，推进农村学前教育普及普惠。不断改善办园条件，促进教学质量提质增效。</w:t>
            </w:r>
            <w:r>
              <w:rPr>
                <w:rFonts w:ascii="宋体" w:hAnsi="宋体" w:eastAsia="宋体" w:cs="宋体"/>
                <w:sz w:val="16"/>
              </w:rPr>
              <w:cr/>
            </w:r>
            <w:r>
              <w:rPr>
                <w:rFonts w:ascii="宋体" w:hAnsi="宋体" w:eastAsia="宋体" w:cs="宋体"/>
                <w:sz w:val="16"/>
              </w:rPr>
              <w:t>
机构设置及人员配置：博乐市青得里中心学校无下属预算单位，下设5个科室，编制数2，实有人数265人，在职114人，退休151人。</w:t>
            </w:r>
            <w:r>
              <w:rPr>
                <w:rFonts w:ascii="宋体" w:hAnsi="宋体" w:eastAsia="宋体" w:cs="宋体"/>
                <w:sz w:val="16"/>
              </w:rPr>
              <w:cr/>
            </w:r>
            <w:r>
              <w:rPr>
                <w:rFonts w:ascii="宋体" w:hAnsi="宋体" w:eastAsia="宋体" w:cs="宋体"/>
                <w:sz w:val="16"/>
              </w:rPr>
              <w:t>
2025年度规划：目标1：保障单位在职121人，退休149人的工资福利及各项补助正常发放及部门正常运转；</w:t>
            </w:r>
            <w:r>
              <w:rPr>
                <w:rFonts w:ascii="宋体" w:hAnsi="宋体" w:eastAsia="宋体" w:cs="宋体"/>
                <w:sz w:val="16"/>
              </w:rPr>
              <w:cr/>
            </w:r>
            <w:r>
              <w:rPr>
                <w:rFonts w:ascii="宋体" w:hAnsi="宋体" w:eastAsia="宋体" w:cs="宋体"/>
                <w:sz w:val="16"/>
              </w:rPr>
              <w:t>
目标2：保障单位预算项目按计划实施，便于开展检查指导学习工作，对青得里镇幼儿园教师开展培训工作，提高教学能力，为支教教师购买生活物资，提高支教教师幸福感、归属感，积极开展校园文化建设，培养学生身心全面发展。</w:t>
            </w:r>
          </w:p>
        </w:tc>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6C66369">
            <w:pPr>
              <w:jc w:val="both"/>
            </w:pPr>
            <w:r>
              <w:rPr>
                <w:rFonts w:ascii="宋体" w:hAnsi="宋体" w:eastAsia="宋体" w:cs="宋体"/>
                <w:sz w:val="16"/>
              </w:rPr>
              <w:t>截至2025年12月底，本单位已完成保障在校学生人数273人，受保障教职工人数152人，教师每学期听课数量20节开展，校领导每学期听课数量60节开展等工作任务，本年度实际形成支出3258.88万元，通过完成以上任务，达到了落实了学期各项工作计划，形成了良好的</w:t>
            </w:r>
            <w:r>
              <w:rPr>
                <w:rFonts w:hint="eastAsia" w:ascii="宋体" w:hAnsi="宋体" w:cs="宋体"/>
                <w:sz w:val="16"/>
                <w:lang w:eastAsia="zh-CN"/>
              </w:rPr>
              <w:t>校风</w:t>
            </w:r>
            <w:r>
              <w:rPr>
                <w:rFonts w:ascii="宋体" w:hAnsi="宋体" w:eastAsia="宋体" w:cs="宋体"/>
                <w:sz w:val="16"/>
              </w:rPr>
              <w:t>效益。</w:t>
            </w:r>
          </w:p>
        </w:tc>
      </w:tr>
      <w:tr w14:paraId="6B720452">
        <w:tblPrEx>
          <w:tblCellMar>
            <w:top w:w="0" w:type="dxa"/>
            <w:left w:w="108" w:type="dxa"/>
            <w:bottom w:w="0" w:type="dxa"/>
            <w:right w:w="108" w:type="dxa"/>
          </w:tblCellMar>
        </w:tblPrEx>
        <w:trPr>
          <w:cantSpli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EB0686">
            <w:pPr>
              <w:jc w:val="center"/>
            </w:pPr>
            <w:r>
              <w:rPr>
                <w:rFonts w:ascii="宋体" w:hAnsi="宋体" w:eastAsia="宋体" w:cs="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03D504">
            <w:pPr>
              <w:jc w:val="center"/>
            </w:pPr>
            <w:r>
              <w:rPr>
                <w:rFonts w:ascii="宋体" w:hAnsi="宋体" w:eastAsia="宋体" w:cs="宋体"/>
                <w:sz w:val="16"/>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E43559">
            <w:pPr>
              <w:jc w:val="center"/>
            </w:pPr>
            <w:r>
              <w:rPr>
                <w:rFonts w:ascii="宋体" w:hAnsi="宋体" w:eastAsia="宋体" w:cs="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F1C3A8">
            <w:pPr>
              <w:jc w:val="center"/>
            </w:pPr>
            <w:r>
              <w:rPr>
                <w:rFonts w:ascii="宋体" w:hAnsi="宋体" w:eastAsia="宋体" w:cs="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458D6D">
            <w:pPr>
              <w:jc w:val="center"/>
            </w:pPr>
            <w:r>
              <w:rPr>
                <w:rFonts w:ascii="宋体" w:hAnsi="宋体" w:eastAsia="宋体" w:cs="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9AC770">
            <w:pPr>
              <w:jc w:val="center"/>
            </w:pPr>
            <w:r>
              <w:rPr>
                <w:rFonts w:ascii="宋体" w:hAnsi="宋体" w:eastAsia="宋体" w:cs="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E70EFC">
            <w:pPr>
              <w:jc w:val="center"/>
            </w:pPr>
            <w:r>
              <w:rPr>
                <w:rFonts w:ascii="宋体" w:hAnsi="宋体" w:eastAsia="宋体" w:cs="宋体"/>
                <w:sz w:val="16"/>
              </w:rPr>
              <w:t>实际完成指标值</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8C3315">
            <w:pPr>
              <w:jc w:val="center"/>
            </w:pPr>
            <w:r>
              <w:rPr>
                <w:rFonts w:ascii="宋体" w:hAnsi="宋体" w:eastAsia="宋体" w:cs="宋体"/>
                <w:sz w:val="16"/>
              </w:rPr>
              <w:t>得分</w:t>
            </w:r>
          </w:p>
        </w:tc>
      </w:tr>
      <w:tr w14:paraId="194ED38E">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89744E">
            <w:pPr>
              <w:jc w:val="center"/>
            </w:pPr>
            <w:r>
              <w:rPr>
                <w:rFonts w:ascii="宋体" w:hAnsi="宋体" w:eastAsia="宋体" w:cs="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D5ED8F">
            <w:pPr>
              <w:jc w:val="center"/>
            </w:pPr>
            <w:r>
              <w:rPr>
                <w:rFonts w:ascii="宋体" w:hAnsi="宋体" w:eastAsia="宋体" w:cs="宋体"/>
                <w:sz w:val="16"/>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457013">
            <w:pPr>
              <w:jc w:val="center"/>
            </w:pPr>
            <w:r>
              <w:rPr>
                <w:rFonts w:ascii="宋体" w:hAnsi="宋体" w:eastAsia="宋体" w:cs="宋体"/>
                <w:sz w:val="16"/>
              </w:rPr>
              <w:t>保障在校学生人数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F74F8A">
            <w:pPr>
              <w:jc w:val="center"/>
            </w:pPr>
            <w:r>
              <w:rPr>
                <w:rFonts w:ascii="宋体" w:hAnsi="宋体" w:eastAsia="宋体" w:cs="宋体"/>
                <w:sz w:val="16"/>
              </w:rPr>
              <w:t>&gt;=189个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6693AD">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48A186">
            <w:pPr>
              <w:jc w:val="center"/>
            </w:pPr>
            <w:r>
              <w:rPr>
                <w:rFonts w:ascii="宋体" w:hAnsi="宋体" w:eastAsia="宋体" w:cs="宋体"/>
                <w:sz w:val="16"/>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CD58AA">
            <w:pPr>
              <w:jc w:val="center"/>
            </w:pPr>
            <w:r>
              <w:rPr>
                <w:rFonts w:ascii="宋体" w:hAnsi="宋体" w:eastAsia="宋体" w:cs="宋体"/>
                <w:sz w:val="16"/>
              </w:rPr>
              <w:t>273</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DDCBA7">
            <w:pPr>
              <w:jc w:val="center"/>
            </w:pPr>
            <w:r>
              <w:rPr>
                <w:rFonts w:ascii="宋体" w:hAnsi="宋体" w:eastAsia="宋体" w:cs="宋体"/>
                <w:sz w:val="16"/>
              </w:rPr>
              <w:t>25</w:t>
            </w:r>
          </w:p>
        </w:tc>
      </w:tr>
      <w:tr w14:paraId="438FD58D">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08FD1F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B4991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A7F725">
            <w:pPr>
              <w:jc w:val="center"/>
            </w:pPr>
            <w:r>
              <w:rPr>
                <w:rFonts w:ascii="宋体" w:hAnsi="宋体" w:eastAsia="宋体" w:cs="宋体"/>
                <w:sz w:val="16"/>
              </w:rPr>
              <w:t>保障在职教职工人数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1A6F8D">
            <w:pPr>
              <w:jc w:val="center"/>
            </w:pPr>
            <w:r>
              <w:rPr>
                <w:rFonts w:ascii="宋体" w:hAnsi="宋体" w:eastAsia="宋体" w:cs="宋体"/>
                <w:sz w:val="16"/>
              </w:rPr>
              <w:t>&gt;=114个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F67855">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514454">
            <w:pPr>
              <w:jc w:val="center"/>
            </w:pPr>
            <w:r>
              <w:rPr>
                <w:rFonts w:ascii="宋体" w:hAnsi="宋体" w:eastAsia="宋体" w:cs="宋体"/>
                <w:sz w:val="16"/>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0A25E6">
            <w:pPr>
              <w:jc w:val="center"/>
            </w:pPr>
            <w:r>
              <w:rPr>
                <w:rFonts w:ascii="宋体" w:hAnsi="宋体" w:eastAsia="宋体" w:cs="宋体"/>
                <w:sz w:val="16"/>
              </w:rPr>
              <w:t>152</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B10477">
            <w:pPr>
              <w:jc w:val="center"/>
            </w:pPr>
            <w:r>
              <w:rPr>
                <w:rFonts w:ascii="宋体" w:hAnsi="宋体" w:eastAsia="宋体" w:cs="宋体"/>
                <w:sz w:val="16"/>
              </w:rPr>
              <w:t>25</w:t>
            </w:r>
          </w:p>
        </w:tc>
      </w:tr>
      <w:tr w14:paraId="1809FE0A">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5CE43B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348A2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F293DB">
            <w:pPr>
              <w:jc w:val="center"/>
            </w:pPr>
            <w:r>
              <w:rPr>
                <w:rFonts w:ascii="宋体" w:hAnsi="宋体" w:eastAsia="宋体" w:cs="宋体"/>
                <w:sz w:val="16"/>
              </w:rPr>
              <w:t>教师听课数量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486828">
            <w:pPr>
              <w:jc w:val="center"/>
            </w:pPr>
            <w:r>
              <w:rPr>
                <w:rFonts w:ascii="宋体" w:hAnsi="宋体" w:eastAsia="宋体" w:cs="宋体"/>
                <w:sz w:val="16"/>
              </w:rPr>
              <w:t>&gt;=20节/学期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2E16F6">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DFEF0A">
            <w:pPr>
              <w:jc w:val="center"/>
            </w:pPr>
            <w:r>
              <w:rPr>
                <w:rFonts w:ascii="宋体" w:hAnsi="宋体" w:eastAsia="宋体" w:cs="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2A8F92">
            <w:pPr>
              <w:jc w:val="center"/>
            </w:pPr>
            <w:r>
              <w:rPr>
                <w:rFonts w:ascii="宋体" w:hAnsi="宋体" w:eastAsia="宋体" w:cs="宋体"/>
                <w:sz w:val="16"/>
              </w:rPr>
              <w:t>=20节/学期</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794C3E">
            <w:pPr>
              <w:jc w:val="center"/>
            </w:pPr>
            <w:r>
              <w:rPr>
                <w:rFonts w:ascii="宋体" w:hAnsi="宋体" w:eastAsia="宋体" w:cs="宋体"/>
                <w:sz w:val="16"/>
              </w:rPr>
              <w:t>20</w:t>
            </w:r>
          </w:p>
        </w:tc>
      </w:tr>
      <w:tr w14:paraId="26432566">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F0DDA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E66398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85221F">
            <w:pPr>
              <w:jc w:val="center"/>
            </w:pPr>
            <w:r>
              <w:rPr>
                <w:rFonts w:ascii="宋体" w:hAnsi="宋体" w:eastAsia="宋体" w:cs="宋体"/>
                <w:sz w:val="16"/>
              </w:rPr>
              <w:t>校领导听课数量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8B103A">
            <w:pPr>
              <w:jc w:val="center"/>
            </w:pPr>
            <w:r>
              <w:rPr>
                <w:rFonts w:ascii="宋体" w:hAnsi="宋体" w:eastAsia="宋体" w:cs="宋体"/>
                <w:sz w:val="16"/>
              </w:rPr>
              <w:t>&gt;=60节/学期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458649">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9714E4">
            <w:pPr>
              <w:jc w:val="center"/>
            </w:pPr>
            <w:r>
              <w:rPr>
                <w:rFonts w:ascii="宋体" w:hAnsi="宋体" w:eastAsia="宋体" w:cs="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3A51BA">
            <w:pPr>
              <w:jc w:val="center"/>
            </w:pPr>
            <w:r>
              <w:rPr>
                <w:rFonts w:ascii="宋体" w:hAnsi="宋体" w:eastAsia="宋体" w:cs="宋体"/>
                <w:sz w:val="16"/>
              </w:rPr>
              <w:t>=60节/学期</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B3C926">
            <w:pPr>
              <w:jc w:val="center"/>
            </w:pPr>
            <w:r>
              <w:rPr>
                <w:rFonts w:ascii="宋体" w:hAnsi="宋体" w:eastAsia="宋体" w:cs="宋体"/>
                <w:sz w:val="16"/>
              </w:rPr>
              <w:t>20</w:t>
            </w:r>
          </w:p>
        </w:tc>
      </w:tr>
      <w:tr w14:paraId="131DEC16">
        <w:tblPrEx>
          <w:tblCellMar>
            <w:top w:w="0" w:type="dxa"/>
            <w:left w:w="108" w:type="dxa"/>
            <w:bottom w:w="0" w:type="dxa"/>
            <w:right w:w="108" w:type="dxa"/>
          </w:tblCellMar>
        </w:tblPrEx>
        <w:trPr>
          <w:cantSplit/>
        </w:trPr>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B84981">
            <w:pPr>
              <w:jc w:val="center"/>
            </w:pPr>
            <w:bookmarkStart w:id="0" w:name="_GoBack"/>
            <w:r>
              <w:rPr>
                <w:rFonts w:ascii="宋体" w:hAnsi="宋体" w:eastAsia="宋体" w:cs="宋体"/>
                <w:sz w:val="16"/>
              </w:rPr>
              <w:t>总分</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A89323">
            <w:pPr>
              <w:jc w:val="center"/>
            </w:pPr>
            <w:r>
              <w:rPr>
                <w:rFonts w:ascii="宋体" w:hAnsi="宋体" w:eastAsia="宋体" w:cs="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tcPr>
          <w:p w14:paraId="58EFE5AE"/>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E5E933">
            <w:pPr>
              <w:jc w:val="center"/>
            </w:pPr>
            <w:r>
              <w:rPr>
                <w:rFonts w:ascii="宋体" w:hAnsi="宋体" w:eastAsia="宋体" w:cs="宋体"/>
                <w:sz w:val="16"/>
              </w:rPr>
              <w:t>99.99</w:t>
            </w:r>
          </w:p>
        </w:tc>
      </w:tr>
    </w:tbl>
    <w:p w14:paraId="79CE30B8">
      <w:r>
        <w:br w:type="page"/>
      </w:r>
    </w:p>
    <w:p w14:paraId="0FA2B0C0">
      <w:pPr>
        <w:spacing w:line="640" w:lineRule="exact"/>
        <w:ind w:firstLine="640"/>
        <w:jc w:val="both"/>
        <w:outlineLvl w:val="2"/>
      </w:pPr>
      <w:r>
        <w:rPr>
          <w:rFonts w:ascii="黑体" w:hAnsi="黑体" w:eastAsia="黑体"/>
          <w:sz w:val="32"/>
        </w:rPr>
        <w:t>十二、其他</w:t>
      </w:r>
      <w:bookmarkEnd w:id="0"/>
      <w:r>
        <w:rPr>
          <w:rFonts w:ascii="黑体" w:hAnsi="黑体" w:eastAsia="黑体"/>
          <w:sz w:val="32"/>
        </w:rPr>
        <w:t>需说明的事项</w:t>
      </w:r>
    </w:p>
    <w:p w14:paraId="3A6E6E16">
      <w:pPr>
        <w:spacing w:line="580" w:lineRule="exact"/>
        <w:ind w:firstLine="640"/>
        <w:jc w:val="both"/>
      </w:pPr>
      <w:r>
        <w:rPr>
          <w:rFonts w:ascii="仿宋_GB2312" w:hAnsi="仿宋_GB2312" w:eastAsia="仿宋_GB2312"/>
          <w:b w:val="0"/>
          <w:sz w:val="32"/>
        </w:rPr>
        <w:t>本单位无其他需说明的事项。</w:t>
      </w:r>
    </w:p>
    <w:p w14:paraId="7B99D198">
      <w:r>
        <w:br w:type="page"/>
      </w:r>
    </w:p>
    <w:p w14:paraId="4AF04B3A">
      <w:pPr>
        <w:spacing w:line="600" w:lineRule="exact"/>
        <w:jc w:val="center"/>
        <w:outlineLvl w:val="0"/>
      </w:pPr>
      <w:r>
        <w:rPr>
          <w:rFonts w:ascii="黑体" w:hAnsi="黑体" w:eastAsia="黑体"/>
          <w:sz w:val="32"/>
        </w:rPr>
        <w:t>第三部分 专业名词解释</w:t>
      </w:r>
    </w:p>
    <w:p w14:paraId="0F5606C4">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5ED9A9C9">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0FB7785">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63597EB5">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0E06DEAE">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15750561">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F86F647">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29D3402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7858EBC">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22787A0A">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24DFE7B2">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4F42FE91">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3628EAAA">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2B9DC98">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07647DD1">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5E61A17A">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868F0BB">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0B6439B5">
      <w:r>
        <w:br w:type="page"/>
      </w:r>
    </w:p>
    <w:p w14:paraId="19918659">
      <w:pPr>
        <w:spacing w:line="240" w:lineRule="auto"/>
        <w:jc w:val="center"/>
        <w:outlineLvl w:val="1"/>
      </w:pPr>
      <w:r>
        <w:rPr>
          <w:rFonts w:ascii="黑体" w:hAnsi="黑体" w:eastAsia="黑体"/>
          <w:sz w:val="32"/>
        </w:rPr>
        <w:t>第四部分 部门决算报表（见附表）</w:t>
      </w:r>
    </w:p>
    <w:p w14:paraId="158278F7">
      <w:pPr>
        <w:autoSpaceDE w:val="0"/>
        <w:autoSpaceDN w:val="0"/>
        <w:spacing w:line="600" w:lineRule="exact"/>
        <w:ind w:firstLine="640" w:firstLineChars="200"/>
      </w:pPr>
      <w:r>
        <w:rPr>
          <w:rFonts w:ascii="仿宋_GB2312" w:hAnsi="仿宋_GB2312" w:eastAsia="仿宋_GB2312"/>
          <w:b w:val="0"/>
          <w:sz w:val="32"/>
        </w:rPr>
        <w:t>一、《收入支出决算总表》</w:t>
      </w:r>
    </w:p>
    <w:p w14:paraId="3C4B6A0B">
      <w:pPr>
        <w:autoSpaceDE w:val="0"/>
        <w:autoSpaceDN w:val="0"/>
        <w:spacing w:line="600" w:lineRule="exact"/>
        <w:ind w:firstLine="640" w:firstLineChars="200"/>
      </w:pPr>
      <w:r>
        <w:rPr>
          <w:rFonts w:ascii="仿宋_GB2312" w:hAnsi="仿宋_GB2312" w:eastAsia="仿宋_GB2312"/>
          <w:b w:val="0"/>
          <w:sz w:val="32"/>
        </w:rPr>
        <w:t>二、《收入决算表》</w:t>
      </w:r>
    </w:p>
    <w:p w14:paraId="090AAA1C">
      <w:pPr>
        <w:autoSpaceDE w:val="0"/>
        <w:autoSpaceDN w:val="0"/>
        <w:spacing w:line="600" w:lineRule="exact"/>
        <w:ind w:firstLine="640" w:firstLineChars="200"/>
      </w:pPr>
      <w:r>
        <w:rPr>
          <w:rFonts w:ascii="仿宋_GB2312" w:hAnsi="仿宋_GB2312" w:eastAsia="仿宋_GB2312"/>
          <w:b w:val="0"/>
          <w:sz w:val="32"/>
        </w:rPr>
        <w:t>三、《支出决算表》</w:t>
      </w:r>
    </w:p>
    <w:p w14:paraId="44FB8CC1">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22CDC52A">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18E85D40">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4E27AABE">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4486F55B">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D8FDB62">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16CC271D">
      <w:pPr>
        <w:autoSpaceDE w:val="0"/>
        <w:autoSpaceDN w:val="0"/>
        <w:spacing w:line="600" w:lineRule="exact"/>
        <w:ind w:firstLine="640" w:firstLineChars="200"/>
      </w:pPr>
    </w:p>
    <w:p w14:paraId="1C02DA8C">
      <w:pPr>
        <w:autoSpaceDE w:val="0"/>
        <w:autoSpaceDN w:val="0"/>
        <w:spacing w:line="600" w:lineRule="exact"/>
        <w:ind w:firstLine="640" w:firstLineChars="200"/>
      </w:pPr>
    </w:p>
    <w:p w14:paraId="40C06F65">
      <w:pPr>
        <w:autoSpaceDE w:val="0"/>
        <w:autoSpaceDN w:val="0"/>
        <w:spacing w:line="600" w:lineRule="exact"/>
        <w:ind w:firstLine="640" w:firstLineChars="200"/>
      </w:pPr>
    </w:p>
    <w:p w14:paraId="10C51103">
      <w:pPr>
        <w:autoSpaceDE w:val="0"/>
        <w:autoSpaceDN w:val="0"/>
        <w:spacing w:line="600" w:lineRule="exact"/>
        <w:ind w:firstLine="640" w:firstLineChars="200"/>
      </w:pPr>
    </w:p>
    <w:p w14:paraId="132CA8F1">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95B02F-84FD-426E-B923-3470EFE96E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A47E38B2-FEE2-4AA3-B9AF-95F9691BD164}"/>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DCE6EFCA-6D85-4ECA-80F7-D33028FF770A}"/>
  </w:font>
  <w:font w:name="楷体_GB2312">
    <w:panose1 w:val="02010609030101010101"/>
    <w:charset w:val="86"/>
    <w:family w:val="auto"/>
    <w:pitch w:val="default"/>
    <w:sig w:usb0="00000001" w:usb1="080E0000" w:usb2="00000000" w:usb3="00000000" w:csb0="00040000" w:csb1="00000000"/>
    <w:embedRegular r:id="rId4" w:fontKey="{6AB54D9B-E60A-4E4B-A694-F01F89F237B3}"/>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A4F7742"/>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c1eaa484-9ebb-471c-bb57-b0ecf58003b3</errorID>
      <errorWord>制定和</errorWord>
      <group>L1_Word</group>
      <groupName>字词问题</groupName>
      <ability>L2_Typo</ability>
      <abilityName>字词错误</abilityName>
      <candidateList>
        <item>制定</item>
      </candidateList>
      <explain/>
      <paraID>56F7D622</paraID>
      <start>4</start>
      <end>6</end>
      <status>modified</status>
      <modifiedWord>制定</modifiedWord>
      <trackRevisions>false</trackRevisions>
    </reviewItem>
    <reviewItem>
      <errorID>d2b96566-236c-4602-9af6-5fd41c3ed2af</errorID>
      <errorWord>民主管理和民主监督</errorWord>
      <group>L1_Political</group>
      <groupName>政治性问题</groupName>
      <ability>L2_Keyword</ability>
      <abilityName>固定表述</abilityName>
      <candidateList>
        <item>民主管理、民主监督</item>
      </candidateList>
      <explain>词汇“民主管理、民主监督”在特定场景下为固定表述形式，请确认此处的“民主管理和民主监督”是否存在不当。</explain>
      <paraID> 937EF08</paraID>
      <start>45</start>
      <end>54</end>
      <status>modified</status>
      <modifiedWord>民主管理、民主监督</modifiedWord>
      <trackRevisions>false</trackRevisions>
    </reviewItem>
    <reviewItem>
      <errorID>aadf9af5-d9fa-4bf2-b7cd-ff67c95fe224</errorID>
      <errorWord>做</errorWord>
      <group>L1_Word</group>
      <groupName>字词问题</groupName>
      <ability>L2_Typo</ability>
      <abilityName>字词错误</abilityName>
      <candidateList>
        <item>作</item>
      </candidateList>
      <explain>存在发音相同字词的误用。</explain>
      <paraID> 937EF08</paraID>
      <start>68</start>
      <end>69</end>
      <status>modified</status>
      <modifiedWord>作</modifiedWord>
      <trackRevisions>false</trackRevisions>
    </reviewItem>
    <reviewItem>
      <errorID>7eb1b1bf-8eab-4c85-adb7-bd9bf4ab393d</errorID>
      <errorWord>校际间</errorWord>
      <group>L1_Word</group>
      <groupName>字词问题</groupName>
      <ability>L2_Typo</ability>
      <abilityName>字词错误</abilityName>
      <candidateList>
        <item>校际</item>
      </candidateList>
      <explain/>
      <paraID>104C1639</paraID>
      <start>28</start>
      <end>31</end>
      <status>unmodified</status>
      <modifiedWord/>
      <trackRevisions>false</trackRevisions>
    </reviewItem>
    <reviewItem>
      <errorID>0e67cba2-9bfb-444f-a2ea-4bc41142b8de</errorID>
      <errorWord>经</errorWord>
      <group>L1_Word</group>
      <groupName>字词问题</groupName>
      <ability>L2_Typo</ability>
      <abilityName>字词错误</abilityName>
      <candidateList>
        <item>经费</item>
      </candidateList>
      <explain/>
      <paraID> 8D951AC</paraID>
      <start>106</start>
      <end>108</end>
      <status>modified</status>
      <modifiedWord>经费</modifiedWord>
      <trackRevisions>false</trackRevisions>
    </reviewItem>
    <reviewItem>
      <errorID>597ceb4a-1dc3-49d6-81a9-e296f1e449dc</errorID>
      <errorWord>债务</errorWord>
      <group>L1_Sensitive</group>
      <groupName>敏感问题</groupName>
      <ability>L2_UserSensitive</ability>
      <abilityName>自定义敏感词</abilityName>
      <candidateList/>
      <explain>来自自定义敏感词库。</explain>
      <paraID> 8E72ED5</paraID>
      <start>21</start>
      <end>23</end>
      <status>unmodified</status>
      <modifiedWord/>
      <trackRevisions>false</trackRevisions>
    </reviewItem>
    <reviewItem>
      <errorID>d6ddec47-1f94-4bba-b597-3245b07d5735</errorID>
      <errorWord>债务</errorWord>
      <group>L1_Sensitive</group>
      <groupName>敏感问题</groupName>
      <ability>L2_UserSensitive</ability>
      <abilityName>自定义敏感词</abilityName>
      <candidateList/>
      <explain>来自自定义敏感词库。</explain>
      <paraID> 8E72ED5</paraID>
      <start>40</start>
      <end>42</end>
      <status>unmodified</status>
      <modifiedWord/>
      <trackRevisions>false</trackRevisions>
    </reviewItem>
    <reviewItem>
      <errorID>d10fbd3d-d55f-4a47-a955-0f2c46129da8</errorID>
      <errorWord>全年</errorWord>
      <group>L1_Word</group>
      <groupName>字词问题</groupName>
      <ability>L2_Typo</ability>
      <abilityName>字词错误</abilityName>
      <candidateList>
        <item>全面</item>
      </candidateList>
      <explain/>
      <paraID>264668BF</paraID>
      <start>7</start>
      <end>9</end>
      <status>modified</status>
      <modifiedWord>全面</modifiedWord>
      <trackRevisions>false</trackRevisions>
    </reviewItem>
    <reviewItem>
      <errorID>8d524d16-26d8-464e-ad2b-147b9ce5aa46</errorID>
      <errorWord>校风的</errorWord>
      <group>L1_Word</group>
      <groupName>字词问题</groupName>
      <ability>L2_Typo</ability>
      <abilityName>字词错误</abilityName>
      <candidateList>
        <item>校风</item>
      </candidateList>
      <explain/>
      <paraID>56C66369</paraID>
      <start>129</start>
      <end>131</end>
      <status>modified</status>
      <modifiedWord>校风</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customXml/itemProps3.xml><?xml version="1.0" encoding="utf-8"?>
<ds:datastoreItem xmlns:ds="http://schemas.openxmlformats.org/officeDocument/2006/customXml" ds:itemID="{e0a50847-61ea-4d56-9ffe-77d3700942e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4260</Words>
  <Characters>4842</Characters>
  <Lines>10</Lines>
  <Paragraphs>2</Paragraphs>
  <TotalTime>15</TotalTime>
  <ScaleCrop>false</ScaleCrop>
  <LinksUpToDate>false</LinksUpToDate>
  <CharactersWithSpaces>4850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蹁跹</cp:lastModifiedBy>
  <cp:lastPrinted>2024-07-22T11:58:00Z</cp:lastPrinted>
  <dcterms:modified xsi:type="dcterms:W3CDTF">2026-09-20T10:28:05Z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eyJoZGlkIjoiZjc0YWFlMzUxNjVlZTcxY2FlZTNjZDFlMzE3YzBjNDEiLCJ1c2VySWQiOiIxMTU3MzgyOTA5In0=</vt:lpwstr>
  </property>
</Properties>
</file>