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博乐市青少年校外活动中心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0FBCF6BA">
      <w:r>
        <w:br w:type="page"/>
      </w:r>
    </w:p>
    <w:p w14:paraId="418650DE">
      <w:pPr>
        <w:spacing w:line="640" w:lineRule="exact"/>
        <w:jc w:val="center"/>
        <w:outlineLvl w:val="1"/>
      </w:pPr>
      <w:r>
        <w:rPr>
          <w:rFonts w:ascii="黑体" w:hAnsi="黑体" w:eastAsia="黑体"/>
          <w:sz w:val="32"/>
        </w:rPr>
        <w:t>第一部分 单位概况</w:t>
      </w:r>
    </w:p>
    <w:p w14:paraId="4FD8FFF8">
      <w:pPr>
        <w:spacing w:line="640" w:lineRule="exact"/>
        <w:ind w:firstLine="640"/>
        <w:jc w:val="both"/>
        <w:outlineLvl w:val="2"/>
      </w:pPr>
      <w:r>
        <w:rPr>
          <w:rFonts w:ascii="黑体" w:hAnsi="黑体" w:eastAsia="黑体"/>
          <w:sz w:val="32"/>
        </w:rPr>
        <w:t>一、主要职能</w:t>
      </w:r>
    </w:p>
    <w:p w14:paraId="49ED955E">
      <w:pPr>
        <w:spacing w:line="580" w:lineRule="exact"/>
        <w:ind w:firstLine="640"/>
        <w:jc w:val="both"/>
      </w:pPr>
      <w:r>
        <w:rPr>
          <w:rFonts w:hint="eastAsia" w:ascii="仿宋_GB2312" w:hAnsi="仿宋_GB2312" w:eastAsia="仿宋_GB2312"/>
          <w:sz w:val="32"/>
          <w:lang w:eastAsia="zh-CN"/>
        </w:rPr>
        <w:t>1.</w:t>
      </w:r>
      <w:r>
        <w:rPr>
          <w:rFonts w:ascii="仿宋_GB2312" w:hAnsi="仿宋_GB2312" w:eastAsia="仿宋_GB2312"/>
          <w:sz w:val="32"/>
        </w:rPr>
        <w:t>全面负责活动中心工作，认真贯彻落实党和国家的方针、政策，正确执行上级主管部门的决议和指示，全面实施素质教育，培养德、智、体、美等方面全面发展的社会主义事业的建设者和接班人。</w:t>
      </w:r>
    </w:p>
    <w:p w14:paraId="1FC3A57D">
      <w:pPr>
        <w:spacing w:line="580" w:lineRule="exact"/>
        <w:ind w:firstLine="640"/>
        <w:jc w:val="both"/>
      </w:pPr>
      <w:r>
        <w:rPr>
          <w:rFonts w:hint="eastAsia" w:ascii="仿宋_GB2312" w:hAnsi="仿宋_GB2312" w:eastAsia="仿宋_GB2312"/>
          <w:sz w:val="32"/>
          <w:lang w:eastAsia="zh-CN"/>
        </w:rPr>
        <w:t>2.</w:t>
      </w:r>
      <w:r>
        <w:rPr>
          <w:rFonts w:ascii="仿宋_GB2312" w:hAnsi="仿宋_GB2312" w:eastAsia="仿宋_GB2312"/>
          <w:sz w:val="32"/>
        </w:rPr>
        <w:t>根据教育规律、社会要求和活动中心实际，组织制定活动中心发展的远景规划、近期目标、各项工作计划以及各项工作指标并组织实施。</w:t>
      </w:r>
    </w:p>
    <w:p w14:paraId="44893EC4">
      <w:pPr>
        <w:spacing w:line="580" w:lineRule="exact"/>
        <w:ind w:firstLine="640"/>
        <w:jc w:val="both"/>
      </w:pPr>
      <w:r>
        <w:rPr>
          <w:rFonts w:hint="eastAsia" w:ascii="仿宋_GB2312" w:hAnsi="仿宋_GB2312" w:eastAsia="仿宋_GB2312"/>
          <w:sz w:val="32"/>
          <w:lang w:eastAsia="zh-CN"/>
        </w:rPr>
        <w:t>3.</w:t>
      </w:r>
      <w:r>
        <w:rPr>
          <w:rFonts w:ascii="仿宋_GB2312" w:hAnsi="仿宋_GB2312" w:eastAsia="仿宋_GB2312"/>
          <w:sz w:val="32"/>
        </w:rPr>
        <w:t>加强活动中心的科学化管理，制定和健全各项规章制度，规范办学行为，培养良好校风，逐步实现管理决策的科学化，管理方法的定量化和管理手段的现代化。</w:t>
      </w:r>
    </w:p>
    <w:p w14:paraId="2C0ED2F5">
      <w:pPr>
        <w:spacing w:line="580" w:lineRule="exact"/>
        <w:ind w:firstLine="640"/>
        <w:jc w:val="both"/>
      </w:pPr>
      <w:r>
        <w:rPr>
          <w:rFonts w:hint="eastAsia" w:ascii="仿宋_GB2312" w:hAnsi="仿宋_GB2312" w:eastAsia="仿宋_GB2312"/>
          <w:sz w:val="32"/>
          <w:lang w:eastAsia="zh-CN"/>
        </w:rPr>
        <w:t>4.</w:t>
      </w:r>
      <w:r>
        <w:rPr>
          <w:rFonts w:ascii="仿宋_GB2312" w:hAnsi="仿宋_GB2312" w:eastAsia="仿宋_GB2312"/>
          <w:sz w:val="32"/>
        </w:rPr>
        <w:t>负责规划，不断提高辅导员老师们的政治素质、文化业务水平和教研水平。</w:t>
      </w:r>
    </w:p>
    <w:p w14:paraId="13AE598F">
      <w:pPr>
        <w:spacing w:line="580" w:lineRule="exact"/>
        <w:ind w:firstLine="640"/>
        <w:jc w:val="both"/>
      </w:pPr>
      <w:r>
        <w:rPr>
          <w:rFonts w:hint="eastAsia" w:ascii="仿宋_GB2312" w:hAnsi="仿宋_GB2312" w:eastAsia="仿宋_GB2312"/>
          <w:sz w:val="32"/>
          <w:lang w:eastAsia="zh-CN"/>
        </w:rPr>
        <w:t>5.</w:t>
      </w:r>
      <w:r>
        <w:rPr>
          <w:rFonts w:ascii="仿宋_GB2312" w:hAnsi="仿宋_GB2312" w:eastAsia="仿宋_GB2312"/>
          <w:sz w:val="32"/>
        </w:rPr>
        <w:t>组织</w:t>
      </w:r>
      <w:r>
        <w:rPr>
          <w:rFonts w:hint="eastAsia" w:ascii="仿宋_GB2312" w:hAnsi="仿宋_GB2312" w:eastAsia="仿宋_GB2312"/>
          <w:sz w:val="32"/>
          <w:lang w:eastAsia="zh-CN"/>
        </w:rPr>
        <w:t>制定</w:t>
      </w:r>
      <w:r>
        <w:rPr>
          <w:rFonts w:ascii="仿宋_GB2312" w:hAnsi="仿宋_GB2312" w:eastAsia="仿宋_GB2312"/>
          <w:sz w:val="32"/>
        </w:rPr>
        <w:t>活动中心建设规划，加强对财务工作的领导，正确使用各项经费，不断改善办学条件，强化安全工作管理，创造良好的育人环境。改善教职工的福利生活，提高福利待遇，努力解除教职工的后顾之忧。</w:t>
      </w:r>
    </w:p>
    <w:p w14:paraId="5D14DD1C">
      <w:pPr>
        <w:spacing w:line="580" w:lineRule="exact"/>
        <w:ind w:firstLine="640"/>
        <w:jc w:val="both"/>
      </w:pPr>
      <w:r>
        <w:rPr>
          <w:rFonts w:hint="eastAsia" w:ascii="仿宋_GB2312" w:hAnsi="仿宋_GB2312" w:eastAsia="仿宋_GB2312"/>
          <w:sz w:val="32"/>
          <w:lang w:eastAsia="zh-CN"/>
        </w:rPr>
        <w:t>6.</w:t>
      </w:r>
      <w:r>
        <w:rPr>
          <w:rFonts w:ascii="仿宋_GB2312" w:hAnsi="仿宋_GB2312" w:eastAsia="仿宋_GB2312"/>
          <w:sz w:val="32"/>
        </w:rPr>
        <w:t>主持学校与学生家长及社会的联系工作和外来工作。搞好</w:t>
      </w:r>
      <w:bookmarkStart w:id="0" w:name="_GoBack"/>
      <w:r>
        <w:rPr>
          <w:rFonts w:hint="eastAsia" w:ascii="仿宋_GB2312" w:hAnsi="仿宋_GB2312" w:eastAsia="仿宋_GB2312"/>
          <w:sz w:val="32"/>
          <w:lang w:eastAsia="zh-CN"/>
        </w:rPr>
        <w:t>校际</w:t>
      </w:r>
      <w:bookmarkEnd w:id="0"/>
      <w:r>
        <w:rPr>
          <w:rFonts w:ascii="仿宋_GB2312" w:hAnsi="仿宋_GB2312" w:eastAsia="仿宋_GB2312"/>
          <w:sz w:val="32"/>
        </w:rPr>
        <w:t>交往；做好与社会各界的联系工作，争取各方面力量对学校的支持，为办好活动中心创造良好的外部条件。</w:t>
      </w:r>
    </w:p>
    <w:p w14:paraId="10736DD7">
      <w:pPr>
        <w:spacing w:line="640" w:lineRule="exact"/>
        <w:ind w:firstLine="640"/>
        <w:jc w:val="both"/>
        <w:outlineLvl w:val="2"/>
      </w:pPr>
      <w:r>
        <w:rPr>
          <w:rFonts w:ascii="黑体" w:hAnsi="黑体" w:eastAsia="黑体"/>
          <w:sz w:val="32"/>
        </w:rPr>
        <w:t>二、机构设置</w:t>
      </w:r>
    </w:p>
    <w:p w14:paraId="51B6BCA6">
      <w:pPr>
        <w:spacing w:line="580" w:lineRule="exact"/>
        <w:ind w:firstLine="640"/>
        <w:jc w:val="both"/>
      </w:pPr>
      <w:r>
        <w:rPr>
          <w:rFonts w:ascii="仿宋_GB2312" w:hAnsi="仿宋_GB2312" w:eastAsia="仿宋_GB2312"/>
          <w:sz w:val="32"/>
        </w:rPr>
        <w:t>博乐市青少年校外活动中心无下属预算单位。</w:t>
      </w:r>
    </w:p>
    <w:p w14:paraId="44B612BA">
      <w:r>
        <w:br w:type="page"/>
      </w:r>
    </w:p>
    <w:p w14:paraId="49A79EC3">
      <w:pPr>
        <w:spacing w:line="240" w:lineRule="auto"/>
        <w:jc w:val="center"/>
        <w:outlineLvl w:val="1"/>
      </w:pPr>
      <w:r>
        <w:rPr>
          <w:rFonts w:ascii="黑体" w:hAnsi="黑体" w:eastAsia="黑体"/>
          <w:sz w:val="32"/>
        </w:rPr>
        <w:t>第二部分 部门决算情况说明</w:t>
      </w:r>
    </w:p>
    <w:p w14:paraId="3BAF027C">
      <w:pPr>
        <w:spacing w:line="640" w:lineRule="exact"/>
        <w:ind w:firstLine="640"/>
        <w:jc w:val="both"/>
        <w:outlineLvl w:val="2"/>
      </w:pPr>
      <w:r>
        <w:rPr>
          <w:rFonts w:ascii="黑体" w:hAnsi="黑体" w:eastAsia="黑体"/>
          <w:sz w:val="32"/>
        </w:rPr>
        <w:t>一、收入支出决算总体情况说明</w:t>
      </w:r>
    </w:p>
    <w:p w14:paraId="26CC8D7A">
      <w:pPr>
        <w:spacing w:line="580" w:lineRule="exact"/>
        <w:ind w:firstLine="640"/>
        <w:jc w:val="both"/>
      </w:pPr>
      <w:r>
        <w:rPr>
          <w:rFonts w:ascii="仿宋_GB2312" w:hAnsi="仿宋_GB2312" w:eastAsia="仿宋_GB2312"/>
          <w:b/>
          <w:sz w:val="32"/>
        </w:rPr>
        <w:t>2025年度收入总计224.57万元，</w:t>
      </w:r>
      <w:r>
        <w:rPr>
          <w:rFonts w:ascii="仿宋_GB2312" w:hAnsi="仿宋_GB2312" w:eastAsia="仿宋_GB2312"/>
          <w:b w:val="0"/>
          <w:sz w:val="32"/>
        </w:rPr>
        <w:t>其中：本年收入合计224.56万元，使用非财政拨款结余（含专用结余）0.00万元，年初结转和结余0.02万元。</w:t>
      </w:r>
    </w:p>
    <w:p w14:paraId="2218DC51">
      <w:pPr>
        <w:spacing w:line="580" w:lineRule="exact"/>
        <w:ind w:firstLine="640"/>
        <w:jc w:val="both"/>
      </w:pPr>
      <w:r>
        <w:rPr>
          <w:rFonts w:ascii="仿宋_GB2312" w:hAnsi="仿宋_GB2312" w:eastAsia="仿宋_GB2312"/>
          <w:b/>
          <w:sz w:val="32"/>
        </w:rPr>
        <w:t>2025年度支出总计224.57万元，</w:t>
      </w:r>
      <w:r>
        <w:rPr>
          <w:rFonts w:ascii="仿宋_GB2312" w:hAnsi="仿宋_GB2312" w:eastAsia="仿宋_GB2312"/>
          <w:b w:val="0"/>
          <w:sz w:val="32"/>
        </w:rPr>
        <w:t>其中：本年支出合计224.57万元，结余分配0.00万元，年末结转和结余0.00万元。</w:t>
      </w:r>
    </w:p>
    <w:p w14:paraId="2F0E227A">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增加224.57万元，增长100.00%，主要原因是：本单位为本年新增预算单位，无上年对比数据。</w:t>
      </w:r>
    </w:p>
    <w:p w14:paraId="647CCBD8">
      <w:pPr>
        <w:spacing w:line="640" w:lineRule="exact"/>
        <w:ind w:firstLine="640"/>
        <w:jc w:val="both"/>
        <w:outlineLvl w:val="2"/>
      </w:pPr>
      <w:r>
        <w:rPr>
          <w:rFonts w:ascii="黑体" w:hAnsi="黑体" w:eastAsia="黑体"/>
          <w:sz w:val="32"/>
        </w:rPr>
        <w:t>二、收入决算情况说明</w:t>
      </w:r>
    </w:p>
    <w:p w14:paraId="33E6FDCC">
      <w:pPr>
        <w:spacing w:line="580" w:lineRule="exact"/>
        <w:ind w:firstLine="640"/>
        <w:jc w:val="both"/>
      </w:pPr>
      <w:r>
        <w:rPr>
          <w:rFonts w:ascii="仿宋_GB2312" w:hAnsi="仿宋_GB2312" w:eastAsia="仿宋_GB2312"/>
          <w:b/>
          <w:sz w:val="32"/>
        </w:rPr>
        <w:t>本年收入224.56万元，</w:t>
      </w:r>
      <w:r>
        <w:rPr>
          <w:rFonts w:ascii="仿宋_GB2312" w:hAnsi="仿宋_GB2312" w:eastAsia="仿宋_GB2312"/>
          <w:b w:val="0"/>
          <w:sz w:val="32"/>
        </w:rPr>
        <w:t>其中：财政拨款收入85.30万元，占37.99%；上级补助收入0.00万元，占0.00%；事业收入134.25万元，占59.78%；经营收入0.00万元，占0.00%；附属单位上缴收入0.00万元，占0.00%；其他收入5.01万元，占2.23%。</w:t>
      </w:r>
    </w:p>
    <w:p w14:paraId="7FFFE116">
      <w:pPr>
        <w:spacing w:line="640" w:lineRule="exact"/>
        <w:ind w:firstLine="640"/>
        <w:jc w:val="both"/>
        <w:outlineLvl w:val="2"/>
      </w:pPr>
      <w:r>
        <w:rPr>
          <w:rFonts w:ascii="黑体" w:hAnsi="黑体" w:eastAsia="黑体"/>
          <w:sz w:val="32"/>
        </w:rPr>
        <w:t>三、支出决算情况说明</w:t>
      </w:r>
    </w:p>
    <w:p w14:paraId="3B36DC2C">
      <w:pPr>
        <w:spacing w:line="580" w:lineRule="exact"/>
        <w:ind w:firstLine="640"/>
        <w:jc w:val="both"/>
      </w:pPr>
      <w:r>
        <w:rPr>
          <w:rFonts w:ascii="仿宋_GB2312" w:hAnsi="仿宋_GB2312" w:eastAsia="仿宋_GB2312"/>
          <w:b/>
          <w:sz w:val="32"/>
        </w:rPr>
        <w:t>本年支出224.57万元，</w:t>
      </w:r>
      <w:r>
        <w:rPr>
          <w:rFonts w:ascii="仿宋_GB2312" w:hAnsi="仿宋_GB2312" w:eastAsia="仿宋_GB2312"/>
          <w:b w:val="0"/>
          <w:sz w:val="32"/>
        </w:rPr>
        <w:t>其中：基本支出75.78万元，占33.74%；项目支出148.79万元，占66.26%；上缴上级支出0.00万元，占0.00%；经营支出0.00万元，占0.00%；对附属单位补助支出0.00万元，占0.00%。</w:t>
      </w:r>
    </w:p>
    <w:p w14:paraId="70C40858">
      <w:pPr>
        <w:spacing w:line="640" w:lineRule="exact"/>
        <w:ind w:firstLine="640"/>
        <w:jc w:val="both"/>
        <w:outlineLvl w:val="2"/>
      </w:pPr>
      <w:r>
        <w:rPr>
          <w:rFonts w:ascii="黑体" w:hAnsi="黑体" w:eastAsia="黑体"/>
          <w:sz w:val="32"/>
        </w:rPr>
        <w:t>四、财政拨款收入支出决算总体情况说明</w:t>
      </w:r>
    </w:p>
    <w:p w14:paraId="6748362A">
      <w:pPr>
        <w:spacing w:line="580" w:lineRule="exact"/>
        <w:ind w:firstLine="640"/>
        <w:jc w:val="both"/>
      </w:pPr>
      <w:r>
        <w:rPr>
          <w:rFonts w:ascii="仿宋_GB2312" w:hAnsi="仿宋_GB2312" w:eastAsia="仿宋_GB2312"/>
          <w:b/>
          <w:sz w:val="32"/>
        </w:rPr>
        <w:t>2025年度财政拨款收入总计85.30万元，</w:t>
      </w:r>
      <w:r>
        <w:rPr>
          <w:rFonts w:ascii="仿宋_GB2312" w:hAnsi="仿宋_GB2312" w:eastAsia="仿宋_GB2312"/>
          <w:b w:val="0"/>
          <w:sz w:val="32"/>
        </w:rPr>
        <w:t>其中：年初财政拨款结转和结余0.00万元，本年财政拨款收入85.30万元。</w:t>
      </w:r>
      <w:r>
        <w:rPr>
          <w:rFonts w:ascii="仿宋_GB2312" w:hAnsi="仿宋_GB2312" w:eastAsia="仿宋_GB2312"/>
          <w:b/>
          <w:sz w:val="32"/>
        </w:rPr>
        <w:t>财政拨款支出总计85.30万元，</w:t>
      </w:r>
      <w:r>
        <w:rPr>
          <w:rFonts w:ascii="仿宋_GB2312" w:hAnsi="仿宋_GB2312" w:eastAsia="仿宋_GB2312"/>
          <w:b w:val="0"/>
          <w:sz w:val="32"/>
        </w:rPr>
        <w:t>其中：年末财政拨款结转和结余0.00万元，本年财政拨款支出85.30万元。</w:t>
      </w:r>
    </w:p>
    <w:p w14:paraId="370BA52E">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增加85.30万元，增长100.00%，主要原因是：本单位为本年新增预算单位，无上年对比数据。</w:t>
      </w:r>
      <w:r>
        <w:rPr>
          <w:rFonts w:ascii="仿宋_GB2312" w:hAnsi="仿宋_GB2312" w:eastAsia="仿宋_GB2312"/>
          <w:b/>
          <w:sz w:val="32"/>
        </w:rPr>
        <w:t>与年初预算相比，</w:t>
      </w:r>
      <w:r>
        <w:rPr>
          <w:rFonts w:ascii="仿宋_GB2312" w:hAnsi="仿宋_GB2312" w:eastAsia="仿宋_GB2312"/>
          <w:b w:val="0"/>
          <w:sz w:val="32"/>
        </w:rPr>
        <w:t>年初预算数86.41万元，决算数85.30万元，预决算差异率-1.28%，主要原因是：本年在职人员转退休，年中调减人员经费，导致决算存在差异。</w:t>
      </w:r>
    </w:p>
    <w:p w14:paraId="7BA7E3A0">
      <w:pPr>
        <w:spacing w:line="640" w:lineRule="exact"/>
        <w:ind w:firstLine="640"/>
        <w:jc w:val="both"/>
        <w:outlineLvl w:val="2"/>
      </w:pPr>
      <w:r>
        <w:rPr>
          <w:rFonts w:ascii="黑体" w:hAnsi="黑体" w:eastAsia="黑体"/>
          <w:sz w:val="32"/>
        </w:rPr>
        <w:t>五、一般公共预算财政拨款支出决算情况说明</w:t>
      </w:r>
    </w:p>
    <w:p w14:paraId="456ECCBF">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14:paraId="116BF97D">
      <w:pPr>
        <w:spacing w:line="580" w:lineRule="exact"/>
        <w:ind w:firstLine="640"/>
        <w:jc w:val="both"/>
      </w:pPr>
      <w:r>
        <w:rPr>
          <w:rFonts w:ascii="仿宋_GB2312" w:hAnsi="仿宋_GB2312" w:eastAsia="仿宋_GB2312"/>
          <w:b w:val="0"/>
          <w:sz w:val="32"/>
        </w:rPr>
        <w:t>按照支出功能分类，教育支出（类）教育管理事务（款）其他教育管理事务支出（项）的支出占本年财政拨款支出总额的比重最高，2025年度决算数为85.30万元，占比100.00%，主要用于人员工资福利，日常公用经费，2025年办公用房取暖费等。</w:t>
      </w:r>
    </w:p>
    <w:p w14:paraId="5D8B9AEA">
      <w:pPr>
        <w:spacing w:line="640" w:lineRule="exact"/>
        <w:ind w:firstLine="640"/>
        <w:jc w:val="both"/>
        <w:outlineLvl w:val="3"/>
      </w:pPr>
      <w:r>
        <w:rPr>
          <w:rFonts w:ascii="楷体_GB2312" w:hAnsi="楷体_GB2312" w:eastAsia="楷体_GB2312"/>
          <w:b/>
          <w:sz w:val="32"/>
        </w:rPr>
        <w:t>（一）一般公共预算财政拨款支出决算总体情况</w:t>
      </w:r>
    </w:p>
    <w:p w14:paraId="18EA609D">
      <w:pPr>
        <w:spacing w:line="580" w:lineRule="exact"/>
        <w:ind w:firstLine="640"/>
        <w:jc w:val="both"/>
      </w:pPr>
      <w:r>
        <w:rPr>
          <w:rFonts w:ascii="仿宋_GB2312" w:hAnsi="仿宋_GB2312" w:eastAsia="仿宋_GB2312"/>
          <w:b/>
          <w:sz w:val="32"/>
        </w:rPr>
        <w:t>2025年度一般公共预算财政拨款支出85.30万元，</w:t>
      </w:r>
      <w:r>
        <w:rPr>
          <w:rFonts w:ascii="仿宋_GB2312" w:hAnsi="仿宋_GB2312" w:eastAsia="仿宋_GB2312"/>
          <w:b w:val="0"/>
          <w:sz w:val="32"/>
        </w:rPr>
        <w:t>占本年支出合计的37.98%。</w:t>
      </w:r>
      <w:r>
        <w:rPr>
          <w:rFonts w:ascii="仿宋_GB2312" w:hAnsi="仿宋_GB2312" w:eastAsia="仿宋_GB2312"/>
          <w:b/>
          <w:sz w:val="32"/>
        </w:rPr>
        <w:t>与上年相比，</w:t>
      </w:r>
      <w:r>
        <w:rPr>
          <w:rFonts w:ascii="仿宋_GB2312" w:hAnsi="仿宋_GB2312" w:eastAsia="仿宋_GB2312"/>
          <w:b w:val="0"/>
          <w:sz w:val="32"/>
        </w:rPr>
        <w:t>增加85.30万元，增长100.00%，主要原因是：本单位为本年新增预算单位，无上年对比数据。</w:t>
      </w:r>
      <w:r>
        <w:rPr>
          <w:rFonts w:ascii="仿宋_GB2312" w:hAnsi="仿宋_GB2312" w:eastAsia="仿宋_GB2312"/>
          <w:b/>
          <w:sz w:val="32"/>
        </w:rPr>
        <w:t>与年初预算相比，</w:t>
      </w:r>
      <w:r>
        <w:rPr>
          <w:rFonts w:ascii="仿宋_GB2312" w:hAnsi="仿宋_GB2312" w:eastAsia="仿宋_GB2312"/>
          <w:b w:val="0"/>
          <w:sz w:val="32"/>
        </w:rPr>
        <w:t>年初预算数86.41万元，决算数85.30万元，预决算差异率-1.28%，主要原因是：本年在职人员转退休，年中调减人员经费，导致决算存在差异。</w:t>
      </w:r>
    </w:p>
    <w:p w14:paraId="0ADEBB0C">
      <w:pPr>
        <w:spacing w:line="640" w:lineRule="exact"/>
        <w:ind w:firstLine="640"/>
        <w:jc w:val="both"/>
        <w:outlineLvl w:val="3"/>
      </w:pPr>
      <w:r>
        <w:rPr>
          <w:rFonts w:ascii="楷体_GB2312" w:hAnsi="楷体_GB2312" w:eastAsia="楷体_GB2312"/>
          <w:b/>
          <w:sz w:val="32"/>
        </w:rPr>
        <w:t>（二）一般公共预算财政拨款支出决算结构情况</w:t>
      </w:r>
    </w:p>
    <w:p w14:paraId="253D4CB7">
      <w:pPr>
        <w:spacing w:line="580" w:lineRule="exact"/>
        <w:ind w:firstLine="640"/>
        <w:jc w:val="both"/>
      </w:pPr>
      <w:r>
        <w:rPr>
          <w:rFonts w:ascii="仿宋_GB2312" w:hAnsi="仿宋_GB2312" w:eastAsia="仿宋_GB2312"/>
          <w:b w:val="0"/>
          <w:sz w:val="32"/>
        </w:rPr>
        <w:t>1.教育支出（类）85.30万元，占100.00%。</w:t>
      </w:r>
    </w:p>
    <w:p w14:paraId="39AAECCF">
      <w:pPr>
        <w:spacing w:line="640" w:lineRule="exact"/>
        <w:ind w:firstLine="640"/>
        <w:jc w:val="both"/>
        <w:outlineLvl w:val="3"/>
      </w:pPr>
      <w:r>
        <w:rPr>
          <w:rFonts w:ascii="楷体_GB2312" w:hAnsi="楷体_GB2312" w:eastAsia="楷体_GB2312"/>
          <w:b/>
          <w:sz w:val="32"/>
        </w:rPr>
        <w:t>（三）一般公共预算财政拨款支出决算具体情况</w:t>
      </w:r>
    </w:p>
    <w:p w14:paraId="110BE02A">
      <w:pPr>
        <w:spacing w:line="580" w:lineRule="exact"/>
        <w:ind w:firstLine="640"/>
        <w:jc w:val="both"/>
      </w:pPr>
      <w:r>
        <w:rPr>
          <w:rFonts w:ascii="仿宋_GB2312" w:hAnsi="仿宋_GB2312" w:eastAsia="仿宋_GB2312"/>
          <w:b w:val="0"/>
          <w:sz w:val="32"/>
        </w:rPr>
        <w:t>1.教育支出（类）教育管理事务（款）其他教育管理事务支出（项）：支出决算数为85.30万元，比上年决算增加85.30万元，增长100.00%，主要原因是：本单位为本年新增预算单位，无上年对比数据。</w:t>
      </w:r>
    </w:p>
    <w:p w14:paraId="1ECBBBA5">
      <w:pPr>
        <w:spacing w:line="640" w:lineRule="exact"/>
        <w:ind w:firstLine="640"/>
        <w:jc w:val="both"/>
        <w:outlineLvl w:val="2"/>
      </w:pPr>
      <w:r>
        <w:rPr>
          <w:rFonts w:ascii="黑体" w:hAnsi="黑体" w:eastAsia="黑体"/>
          <w:sz w:val="32"/>
        </w:rPr>
        <w:t>六、一般公共预算财政拨款基本支出决算情况说明</w:t>
      </w:r>
    </w:p>
    <w:p w14:paraId="5AFB9908">
      <w:pPr>
        <w:spacing w:line="580" w:lineRule="exact"/>
        <w:ind w:firstLine="640"/>
        <w:jc w:val="both"/>
      </w:pPr>
      <w:r>
        <w:rPr>
          <w:rFonts w:ascii="仿宋_GB2312" w:hAnsi="仿宋_GB2312" w:eastAsia="仿宋_GB2312"/>
          <w:b w:val="0"/>
          <w:sz w:val="32"/>
        </w:rPr>
        <w:t>2025年度一般公共预算财政拨款基本支出75.78万元，其中：</w:t>
      </w:r>
      <w:r>
        <w:rPr>
          <w:rFonts w:ascii="仿宋_GB2312" w:hAnsi="仿宋_GB2312" w:eastAsia="仿宋_GB2312"/>
          <w:b/>
          <w:sz w:val="32"/>
        </w:rPr>
        <w:t>人员经费74.36万元，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14:paraId="151B4110">
      <w:pPr>
        <w:spacing w:line="580" w:lineRule="exact"/>
        <w:ind w:firstLine="640"/>
        <w:jc w:val="both"/>
      </w:pPr>
      <w:r>
        <w:rPr>
          <w:rFonts w:ascii="仿宋_GB2312" w:hAnsi="仿宋_GB2312" w:eastAsia="仿宋_GB2312"/>
          <w:b/>
          <w:sz w:val="32"/>
        </w:rPr>
        <w:t>公用经费1.42万元，</w:t>
      </w:r>
      <w:r>
        <w:rPr>
          <w:rFonts w:ascii="仿宋_GB2312" w:hAnsi="仿宋_GB2312" w:eastAsia="仿宋_GB2312"/>
          <w:b w:val="0"/>
          <w:sz w:val="32"/>
        </w:rPr>
        <w:t>包括：邮电费、工会经费、福利费。</w:t>
      </w:r>
    </w:p>
    <w:p w14:paraId="1767A0E5">
      <w:pPr>
        <w:spacing w:line="640" w:lineRule="exact"/>
        <w:ind w:firstLine="640"/>
        <w:jc w:val="both"/>
        <w:outlineLvl w:val="2"/>
      </w:pPr>
      <w:r>
        <w:rPr>
          <w:rFonts w:ascii="黑体" w:hAnsi="黑体" w:eastAsia="黑体"/>
          <w:sz w:val="32"/>
        </w:rPr>
        <w:t>七、政府性基金预算财政拨款收入支出决算情况说明</w:t>
      </w:r>
    </w:p>
    <w:p w14:paraId="57E57D4E">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2BF2C26D">
      <w:pPr>
        <w:spacing w:line="640" w:lineRule="exact"/>
        <w:ind w:firstLine="640"/>
        <w:jc w:val="both"/>
        <w:outlineLvl w:val="2"/>
      </w:pPr>
      <w:r>
        <w:rPr>
          <w:rFonts w:ascii="黑体" w:hAnsi="黑体" w:eastAsia="黑体"/>
          <w:sz w:val="32"/>
        </w:rPr>
        <w:t>八、国有资本经营预算财政拨款收入支出决算情况说明</w:t>
      </w:r>
    </w:p>
    <w:p w14:paraId="1B0E2830">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2EC03FFF">
      <w:pPr>
        <w:spacing w:line="640" w:lineRule="exact"/>
        <w:ind w:firstLine="640"/>
        <w:jc w:val="both"/>
        <w:outlineLvl w:val="2"/>
      </w:pPr>
      <w:r>
        <w:rPr>
          <w:rFonts w:ascii="黑体" w:hAnsi="黑体" w:eastAsia="黑体"/>
          <w:sz w:val="32"/>
        </w:rPr>
        <w:t>九、财政拨款“三公”经费支出决算情况说明</w:t>
      </w:r>
    </w:p>
    <w:p w14:paraId="1F6D7551">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2025年本单位无财政拨款“三公”经费支出。其中：因公出国（境）费用支出0.00万元，占0.00%，比上年增加0.00万元，增长0.00%，主要原因是：2025年本单位无因公出国（境）费用支出。公务用车购置及运行维护费支出0.00万元，占0.00%，比上年增加0.00万元，增长0.00%，主要原因是：2025年本单位无公务用车购置及运行维护费支出。公务接待费支出0.00万元，占0.00%，比上年增加0.00万元，增长0.00%，主要原因是：2025年本单位无公务接待费支出。</w:t>
      </w:r>
    </w:p>
    <w:p w14:paraId="67DAF1BE">
      <w:pPr>
        <w:spacing w:line="580" w:lineRule="exact"/>
        <w:ind w:firstLine="640"/>
        <w:jc w:val="both"/>
      </w:pPr>
      <w:r>
        <w:rPr>
          <w:rFonts w:ascii="仿宋_GB2312" w:hAnsi="仿宋_GB2312" w:eastAsia="仿宋_GB2312"/>
          <w:b/>
          <w:sz w:val="32"/>
        </w:rPr>
        <w:t>具体情况如下：</w:t>
      </w:r>
    </w:p>
    <w:p w14:paraId="6A891635">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038FB7B8">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14:paraId="4ADCC7B2">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08DD12FA">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14:paraId="02E66F79">
      <w:pPr>
        <w:spacing w:line="640" w:lineRule="exact"/>
        <w:ind w:firstLine="640"/>
        <w:jc w:val="both"/>
        <w:outlineLvl w:val="2"/>
      </w:pPr>
      <w:r>
        <w:rPr>
          <w:rFonts w:ascii="黑体" w:hAnsi="黑体" w:eastAsia="黑体"/>
          <w:sz w:val="32"/>
        </w:rPr>
        <w:t>十、其他重要事项的情况说明</w:t>
      </w:r>
    </w:p>
    <w:p w14:paraId="1EAEAFEC">
      <w:pPr>
        <w:spacing w:line="640" w:lineRule="exact"/>
        <w:ind w:firstLine="640"/>
        <w:jc w:val="both"/>
        <w:outlineLvl w:val="3"/>
      </w:pPr>
      <w:r>
        <w:rPr>
          <w:rFonts w:ascii="楷体_GB2312" w:hAnsi="楷体_GB2312" w:eastAsia="楷体_GB2312"/>
          <w:b/>
          <w:sz w:val="32"/>
        </w:rPr>
        <w:t>（一）机关运行经费及公用经费支出情况</w:t>
      </w:r>
    </w:p>
    <w:p w14:paraId="760ABE10">
      <w:pPr>
        <w:spacing w:line="580" w:lineRule="exact"/>
        <w:ind w:firstLine="640"/>
        <w:jc w:val="both"/>
      </w:pPr>
      <w:r>
        <w:rPr>
          <w:rFonts w:ascii="仿宋_GB2312" w:hAnsi="仿宋_GB2312" w:eastAsia="仿宋_GB2312"/>
          <w:b w:val="0"/>
          <w:sz w:val="32"/>
        </w:rPr>
        <w:t>2025年度博乐市青少年校外活动中心（事业单位）公用经费支出1.42万元，比上年增加1.42万元，增长100.00%，主要原因是：本单位为本年新增预算单位，无上年对比数据。</w:t>
      </w:r>
    </w:p>
    <w:p w14:paraId="340BF424">
      <w:pPr>
        <w:spacing w:line="640" w:lineRule="exact"/>
        <w:ind w:firstLine="640"/>
        <w:jc w:val="both"/>
        <w:outlineLvl w:val="3"/>
      </w:pPr>
      <w:r>
        <w:rPr>
          <w:rFonts w:ascii="楷体_GB2312" w:hAnsi="楷体_GB2312" w:eastAsia="楷体_GB2312"/>
          <w:b/>
          <w:sz w:val="32"/>
        </w:rPr>
        <w:t>（二）政府采购情况</w:t>
      </w:r>
    </w:p>
    <w:p w14:paraId="0A0AD271">
      <w:pPr>
        <w:spacing w:line="580" w:lineRule="exact"/>
        <w:ind w:firstLine="640"/>
        <w:jc w:val="both"/>
      </w:pPr>
      <w:r>
        <w:rPr>
          <w:rFonts w:ascii="仿宋_GB2312" w:hAnsi="仿宋_GB2312" w:eastAsia="仿宋_GB2312"/>
          <w:b w:val="0"/>
          <w:sz w:val="32"/>
        </w:rPr>
        <w:t>2025年度政府采购支出总额55.40万元，其中：政府采购货物支出13.91万元、政府采购工程支出35.03万元、政府采购服务支出6.46万元。</w:t>
      </w:r>
    </w:p>
    <w:p w14:paraId="5BC89905">
      <w:pPr>
        <w:spacing w:line="580" w:lineRule="exact"/>
        <w:ind w:firstLine="640"/>
        <w:jc w:val="both"/>
      </w:pPr>
      <w:r>
        <w:rPr>
          <w:rFonts w:ascii="仿宋_GB2312" w:hAnsi="仿宋_GB2312" w:eastAsia="仿宋_GB2312"/>
          <w:b w:val="0"/>
          <w:sz w:val="32"/>
        </w:rPr>
        <w:t>授予中小企业合同金额55.27万元，占政府采购支出总额的99.77%，其中：授予小微企业合同金额52.72万元，占政府采购支出总额的95.16%。</w:t>
      </w:r>
    </w:p>
    <w:p w14:paraId="32237032">
      <w:pPr>
        <w:spacing w:line="640" w:lineRule="exact"/>
        <w:ind w:firstLine="640"/>
        <w:jc w:val="both"/>
        <w:outlineLvl w:val="3"/>
      </w:pPr>
      <w:r>
        <w:rPr>
          <w:rFonts w:ascii="楷体_GB2312" w:hAnsi="楷体_GB2312" w:eastAsia="楷体_GB2312"/>
          <w:b/>
          <w:sz w:val="32"/>
        </w:rPr>
        <w:t>（三）国有资产占用情况说明</w:t>
      </w:r>
    </w:p>
    <w:p w14:paraId="5B4F31CC">
      <w:pPr>
        <w:spacing w:line="580" w:lineRule="exact"/>
        <w:ind w:firstLine="640"/>
        <w:jc w:val="both"/>
      </w:pPr>
      <w:r>
        <w:rPr>
          <w:rFonts w:ascii="仿宋_GB2312" w:hAnsi="仿宋_GB2312" w:eastAsia="仿宋_GB2312"/>
          <w:b w:val="0"/>
          <w:sz w:val="32"/>
        </w:rPr>
        <w:t>截至2025年12月31日，房屋0.00平方米，价值0.00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14:paraId="4CC5455D">
      <w:pPr>
        <w:spacing w:line="640" w:lineRule="exact"/>
        <w:ind w:firstLine="640"/>
        <w:jc w:val="both"/>
        <w:outlineLvl w:val="2"/>
      </w:pPr>
      <w:r>
        <w:rPr>
          <w:rFonts w:ascii="黑体" w:hAnsi="黑体" w:eastAsia="黑体"/>
          <w:sz w:val="32"/>
        </w:rPr>
        <w:t>十一、预算绩效的情况说明</w:t>
      </w:r>
    </w:p>
    <w:p w14:paraId="0DD8363C">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224.57万元，实际执行总额224.57万元；预算绩效评价项目0个，全年预算数0.00万元，全年执行数0.00万元。预算绩效管理取得的成效：一是通过艺术、科技、体育类课程培养了学员的兴趣特长，提升了综合素质，</w:t>
      </w:r>
      <w:r>
        <w:rPr>
          <w:rFonts w:hint="eastAsia" w:ascii="仿宋_GB2312" w:hAnsi="仿宋_GB2312" w:eastAsia="仿宋_GB2312"/>
          <w:b w:val="0"/>
          <w:sz w:val="32"/>
          <w:lang w:eastAsia="zh-CN"/>
        </w:rPr>
        <w:t>为</w:t>
      </w:r>
      <w:r>
        <w:rPr>
          <w:rFonts w:ascii="仿宋_GB2312" w:hAnsi="仿宋_GB2312" w:eastAsia="仿宋_GB2312"/>
          <w:b w:val="0"/>
          <w:sz w:val="32"/>
        </w:rPr>
        <w:t>青少年假期提供了安全、有益的活动场所，也获得了家长的认可。二是通过丰富的课程设置，有效满足了辖区内青少年多样化的课外学习需求，在提升青少年探究能力和身体素质方面取得了成效。三是我中心组织开展青少年书画大赛，科技创新大赛，体育竞赛等各类比赛活动8场，通过比赛有效激发了青少年的学习兴趣与竞争意识，为青少年提供了展示才艺，交流的平台，充分检验了校外兴趣培训成果，得到了师生及家长的一致好评，营造了青少年校外活动氛围。发现的问题及原因：1.优质特色活动主要集</w:t>
      </w:r>
      <w:r>
        <w:rPr>
          <w:rFonts w:hint="eastAsia" w:ascii="仿宋_GB2312" w:hAnsi="仿宋_GB2312" w:eastAsia="仿宋_GB2312"/>
          <w:b w:val="0"/>
          <w:sz w:val="32"/>
          <w:lang w:eastAsia="zh-CN"/>
        </w:rPr>
        <w:t>中在</w:t>
      </w:r>
      <w:r>
        <w:rPr>
          <w:rFonts w:ascii="仿宋_GB2312" w:hAnsi="仿宋_GB2312" w:eastAsia="仿宋_GB2312"/>
          <w:b w:val="0"/>
          <w:sz w:val="32"/>
        </w:rPr>
        <w:t>城区及周边区域，乡镇、偏远社区青少年参与渠道有限，服务覆盖面未达到预期。2.专职教师培训体系不完善，</w:t>
      </w:r>
      <w:r>
        <w:rPr>
          <w:rFonts w:hint="eastAsia" w:ascii="仿宋_GB2312" w:hAnsi="仿宋_GB2312" w:eastAsia="仿宋_GB2312"/>
          <w:b w:val="0"/>
          <w:sz w:val="32"/>
          <w:lang w:eastAsia="zh-CN"/>
        </w:rPr>
        <w:t>部分</w:t>
      </w:r>
      <w:r>
        <w:rPr>
          <w:rFonts w:ascii="仿宋_GB2312" w:hAnsi="仿宋_GB2312" w:eastAsia="仿宋_GB2312"/>
          <w:b w:val="0"/>
          <w:sz w:val="32"/>
        </w:rPr>
        <w:t>新兴领域课程师资储备薄弱，影响教学深度与质量。3.活动器材，场地设备更新不及时，</w:t>
      </w:r>
      <w:r>
        <w:rPr>
          <w:rFonts w:hint="eastAsia" w:ascii="仿宋_GB2312" w:hAnsi="仿宋_GB2312" w:eastAsia="仿宋_GB2312"/>
          <w:b w:val="0"/>
          <w:sz w:val="32"/>
          <w:lang w:eastAsia="zh-CN"/>
        </w:rPr>
        <w:t>部分</w:t>
      </w:r>
      <w:r>
        <w:rPr>
          <w:rFonts w:ascii="仿宋_GB2312" w:hAnsi="仿宋_GB2312" w:eastAsia="仿宋_GB2312"/>
          <w:b w:val="0"/>
          <w:sz w:val="32"/>
        </w:rPr>
        <w:t>老旧设备维护不到位；数字化管理平台功能不全，数据共享与分析能力薄弱。下一步改进措施：1.优化服务布局，扩大覆盖范围：推进“流动少年宫”“社区服务点”建设，将优质活动资源分享至乡镇，社区；建立区域联动机制，联合学校、社区共建共享活动阵地。2.强化师资建设，提升专业能力：制定年度计划，定期组织专业技能、教学方法等专项培训。3.推进数字化转型，提升管理效能：运用大数据分析活动参与情况，需求偏好，</w:t>
      </w:r>
      <w:r>
        <w:rPr>
          <w:rFonts w:hint="eastAsia" w:ascii="仿宋_GB2312" w:hAnsi="仿宋_GB2312" w:eastAsia="仿宋_GB2312"/>
          <w:b w:val="0"/>
          <w:sz w:val="32"/>
          <w:lang w:eastAsia="zh-CN"/>
        </w:rPr>
        <w:t>分</w:t>
      </w:r>
      <w:r>
        <w:rPr>
          <w:rFonts w:ascii="仿宋_GB2312" w:hAnsi="仿宋_GB2312" w:eastAsia="仿宋_GB2312"/>
          <w:b w:val="0"/>
          <w:sz w:val="32"/>
        </w:rPr>
        <w:t>课程设计、资源配置提供数据支撑，提升服务</w:t>
      </w:r>
      <w:r>
        <w:rPr>
          <w:rFonts w:hint="eastAsia" w:ascii="仿宋_GB2312" w:hAnsi="仿宋_GB2312" w:eastAsia="仿宋_GB2312"/>
          <w:b w:val="0"/>
          <w:sz w:val="32"/>
          <w:lang w:eastAsia="zh-CN"/>
        </w:rPr>
        <w:t>精准度</w:t>
      </w:r>
      <w:r>
        <w:rPr>
          <w:rFonts w:ascii="仿宋_GB2312" w:hAnsi="仿宋_GB2312" w:eastAsia="仿宋_GB2312"/>
          <w:b w:val="0"/>
          <w:sz w:val="32"/>
        </w:rPr>
        <w:t>。具体附整体支出绩效自评表。</w:t>
      </w:r>
    </w:p>
    <w:p w14:paraId="288C7155">
      <w:r>
        <w:br w:type="page"/>
      </w:r>
    </w:p>
    <w:tbl>
      <w:tblPr>
        <w:tblStyle w:val="8"/>
        <w:tblW w:w="5000" w:type="pct"/>
        <w:tblInd w:w="0" w:type="dxa"/>
        <w:tblLayout w:type="fixed"/>
        <w:tblCellMar>
          <w:top w:w="36" w:type="dxa"/>
          <w:left w:w="36" w:type="dxa"/>
          <w:bottom w:w="36" w:type="dxa"/>
          <w:right w:w="36" w:type="dxa"/>
        </w:tblCellMar>
      </w:tblPr>
      <w:tblGrid>
        <w:gridCol w:w="1038"/>
        <w:gridCol w:w="1108"/>
        <w:gridCol w:w="1172"/>
        <w:gridCol w:w="1144"/>
        <w:gridCol w:w="928"/>
        <w:gridCol w:w="963"/>
        <w:gridCol w:w="741"/>
        <w:gridCol w:w="872"/>
        <w:gridCol w:w="879"/>
      </w:tblGrid>
      <w:tr w14:paraId="4D854789">
        <w:tblPrEx>
          <w:tblCellMar>
            <w:top w:w="36" w:type="dxa"/>
            <w:left w:w="36" w:type="dxa"/>
            <w:bottom w:w="36" w:type="dxa"/>
            <w:right w:w="36" w:type="dxa"/>
          </w:tblCellMar>
        </w:tblPrEx>
        <w:trPr>
          <w:cantSplit/>
          <w:trHeight w:val="522" w:hRule="atLeast"/>
        </w:trPr>
        <w:tc>
          <w:tcPr>
            <w:tcW w:w="8845"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25A34E22">
            <w:pPr>
              <w:spacing w:before="0" w:after="0" w:line="240" w:lineRule="auto"/>
              <w:jc w:val="center"/>
            </w:pPr>
            <w:r>
              <w:rPr>
                <w:rFonts w:ascii="宋体" w:hAnsi="宋体" w:eastAsia="宋体" w:cs="宋体"/>
                <w:b w:val="0"/>
                <w:i w:val="0"/>
                <w:sz w:val="18"/>
              </w:rPr>
              <w:t>部门（单位）整体支出绩效目标自评表</w:t>
            </w:r>
          </w:p>
        </w:tc>
      </w:tr>
      <w:tr w14:paraId="7C54BE56">
        <w:tblPrEx>
          <w:tblCellMar>
            <w:top w:w="36" w:type="dxa"/>
            <w:left w:w="36" w:type="dxa"/>
            <w:bottom w:w="36" w:type="dxa"/>
            <w:right w:w="36" w:type="dxa"/>
          </w:tblCellMar>
        </w:tblPrEx>
        <w:trPr>
          <w:cantSplit/>
          <w:trHeight w:val="360" w:hRule="atLeast"/>
        </w:trPr>
        <w:tc>
          <w:tcPr>
            <w:tcW w:w="1038" w:type="dxa"/>
            <w:tcBorders>
              <w:top w:val="single" w:color="auto" w:sz="10" w:space="0"/>
              <w:left w:val="single" w:color="auto" w:sz="10" w:space="0"/>
              <w:bottom w:val="single" w:color="auto" w:sz="10" w:space="0"/>
              <w:right w:val="single" w:color="auto" w:sz="10" w:space="0"/>
              <w:insideV w:val="single" w:sz="10" w:space="0"/>
            </w:tcBorders>
            <w:vAlign w:val="center"/>
          </w:tcPr>
          <w:p w14:paraId="45B6A27A">
            <w:pPr>
              <w:spacing w:before="0" w:after="0" w:line="240" w:lineRule="auto"/>
              <w:jc w:val="center"/>
            </w:pPr>
            <w:r>
              <w:rPr>
                <w:rFonts w:ascii="宋体" w:hAnsi="宋体" w:eastAsia="宋体" w:cs="宋体"/>
                <w:b w:val="0"/>
                <w:i w:val="0"/>
                <w:sz w:val="18"/>
              </w:rPr>
              <w:t>年度</w:t>
            </w:r>
          </w:p>
        </w:tc>
        <w:tc>
          <w:tcPr>
            <w:tcW w:w="7807"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AE49DB2">
            <w:pPr>
              <w:spacing w:before="0" w:after="0" w:line="240" w:lineRule="auto"/>
              <w:jc w:val="center"/>
            </w:pPr>
            <w:r>
              <w:rPr>
                <w:rFonts w:ascii="宋体" w:hAnsi="宋体" w:eastAsia="宋体" w:cs="宋体"/>
                <w:b w:val="0"/>
                <w:i w:val="0"/>
                <w:sz w:val="18"/>
              </w:rPr>
              <w:t>2025</w:t>
            </w:r>
          </w:p>
        </w:tc>
      </w:tr>
      <w:tr w14:paraId="0355161E">
        <w:tblPrEx>
          <w:tblCellMar>
            <w:top w:w="36" w:type="dxa"/>
            <w:left w:w="36" w:type="dxa"/>
            <w:bottom w:w="36" w:type="dxa"/>
            <w:right w:w="36" w:type="dxa"/>
          </w:tblCellMar>
        </w:tblPrEx>
        <w:trPr>
          <w:cantSplit/>
          <w:trHeight w:val="660" w:hRule="atLeast"/>
        </w:trPr>
        <w:tc>
          <w:tcPr>
            <w:tcW w:w="1038" w:type="dxa"/>
            <w:tcBorders>
              <w:top w:val="single" w:color="auto" w:sz="10" w:space="0"/>
              <w:left w:val="single" w:color="auto" w:sz="10" w:space="0"/>
              <w:bottom w:val="single" w:color="auto" w:sz="10" w:space="0"/>
              <w:right w:val="single" w:color="auto" w:sz="10" w:space="0"/>
              <w:insideV w:val="single" w:sz="10" w:space="0"/>
            </w:tcBorders>
            <w:vAlign w:val="center"/>
          </w:tcPr>
          <w:p w14:paraId="34FBFA18">
            <w:pPr>
              <w:spacing w:before="0" w:after="0" w:line="240" w:lineRule="auto"/>
              <w:jc w:val="center"/>
            </w:pPr>
            <w:r>
              <w:rPr>
                <w:rFonts w:ascii="宋体" w:hAnsi="宋体" w:eastAsia="宋体" w:cs="宋体"/>
                <w:b w:val="0"/>
                <w:i w:val="0"/>
                <w:sz w:val="18"/>
              </w:rPr>
              <w:t>部门（单位）名称</w:t>
            </w:r>
          </w:p>
        </w:tc>
        <w:tc>
          <w:tcPr>
            <w:tcW w:w="7807"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B68812F">
            <w:pPr>
              <w:spacing w:before="0" w:after="0" w:line="240" w:lineRule="auto"/>
              <w:jc w:val="center"/>
            </w:pPr>
            <w:r>
              <w:rPr>
                <w:rFonts w:ascii="宋体" w:hAnsi="宋体" w:eastAsia="宋体" w:cs="宋体"/>
                <w:b w:val="0"/>
                <w:i w:val="0"/>
                <w:sz w:val="18"/>
              </w:rPr>
              <w:t>博乐市青少年校外活动中心</w:t>
            </w:r>
          </w:p>
        </w:tc>
      </w:tr>
      <w:tr w14:paraId="6581E5C8">
        <w:tblPrEx>
          <w:tblCellMar>
            <w:top w:w="36" w:type="dxa"/>
            <w:left w:w="36" w:type="dxa"/>
            <w:bottom w:w="36" w:type="dxa"/>
            <w:right w:w="36" w:type="dxa"/>
          </w:tblCellMar>
        </w:tblPrEx>
        <w:trPr>
          <w:cantSplit/>
          <w:trHeight w:val="570" w:hRule="atLeast"/>
        </w:trPr>
        <w:tc>
          <w:tcPr>
            <w:tcW w:w="1038"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427679">
            <w:pPr>
              <w:spacing w:before="0" w:after="0" w:line="240" w:lineRule="auto"/>
              <w:jc w:val="center"/>
            </w:pPr>
            <w:r>
              <w:rPr>
                <w:rFonts w:ascii="宋体" w:hAnsi="宋体" w:eastAsia="宋体" w:cs="宋体"/>
                <w:b w:val="0"/>
                <w:i w:val="0"/>
                <w:sz w:val="18"/>
              </w:rPr>
              <w:t>部门资金（万元）</w:t>
            </w:r>
          </w:p>
        </w:tc>
        <w:tc>
          <w:tcPr>
            <w:tcW w:w="228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697074">
            <w:pPr>
              <w:spacing w:before="0" w:after="0" w:line="240" w:lineRule="auto"/>
              <w:jc w:val="center"/>
            </w:pPr>
            <w:r>
              <w:rPr>
                <w:rFonts w:ascii="宋体" w:hAnsi="宋体" w:eastAsia="宋体" w:cs="宋体"/>
                <w:b w:val="0"/>
                <w:i w:val="0"/>
                <w:sz w:val="18"/>
              </w:rPr>
              <w:t>资金来源</w:t>
            </w:r>
          </w:p>
        </w:tc>
        <w:tc>
          <w:tcPr>
            <w:tcW w:w="1144" w:type="dxa"/>
            <w:tcBorders>
              <w:top w:val="single" w:color="auto" w:sz="10" w:space="0"/>
              <w:left w:val="single" w:color="auto" w:sz="10" w:space="0"/>
              <w:bottom w:val="single" w:color="auto" w:sz="10" w:space="0"/>
              <w:right w:val="single" w:color="auto" w:sz="10" w:space="0"/>
              <w:insideV w:val="single" w:sz="10" w:space="0"/>
            </w:tcBorders>
            <w:vAlign w:val="center"/>
          </w:tcPr>
          <w:p w14:paraId="1DAE8EFC">
            <w:pPr>
              <w:spacing w:before="0" w:after="0" w:line="240" w:lineRule="auto"/>
              <w:jc w:val="center"/>
            </w:pPr>
            <w:r>
              <w:rPr>
                <w:rFonts w:ascii="宋体" w:hAnsi="宋体" w:eastAsia="宋体" w:cs="宋体"/>
                <w:b w:val="0"/>
                <w:i w:val="0"/>
                <w:sz w:val="18"/>
              </w:rPr>
              <w:t>年初预算数（万元）</w:t>
            </w:r>
          </w:p>
        </w:tc>
        <w:tc>
          <w:tcPr>
            <w:tcW w:w="928" w:type="dxa"/>
            <w:tcBorders>
              <w:top w:val="single" w:color="auto" w:sz="10" w:space="0"/>
              <w:left w:val="single" w:color="auto" w:sz="10" w:space="0"/>
              <w:bottom w:val="single" w:color="auto" w:sz="10" w:space="0"/>
              <w:right w:val="single" w:color="auto" w:sz="10" w:space="0"/>
              <w:insideV w:val="single" w:sz="10" w:space="0"/>
            </w:tcBorders>
            <w:vAlign w:val="center"/>
          </w:tcPr>
          <w:p w14:paraId="48C0FF2D">
            <w:pPr>
              <w:spacing w:before="0" w:after="0" w:line="240" w:lineRule="auto"/>
              <w:jc w:val="center"/>
            </w:pPr>
            <w:r>
              <w:rPr>
                <w:rFonts w:ascii="宋体" w:hAnsi="宋体" w:eastAsia="宋体" w:cs="宋体"/>
                <w:b w:val="0"/>
                <w:i w:val="0"/>
                <w:sz w:val="18"/>
              </w:rPr>
              <w:t>预算数（调整后）</w:t>
            </w:r>
          </w:p>
        </w:tc>
        <w:tc>
          <w:tcPr>
            <w:tcW w:w="963" w:type="dxa"/>
            <w:tcBorders>
              <w:top w:val="single" w:color="auto" w:sz="10" w:space="0"/>
              <w:left w:val="single" w:color="auto" w:sz="10" w:space="0"/>
              <w:bottom w:val="single" w:color="auto" w:sz="10" w:space="0"/>
              <w:right w:val="single" w:color="auto" w:sz="10" w:space="0"/>
              <w:insideV w:val="single" w:sz="10" w:space="0"/>
            </w:tcBorders>
            <w:vAlign w:val="center"/>
          </w:tcPr>
          <w:p w14:paraId="19A02720">
            <w:pPr>
              <w:spacing w:before="0" w:after="0" w:line="240" w:lineRule="auto"/>
              <w:jc w:val="center"/>
            </w:pPr>
            <w:r>
              <w:rPr>
                <w:rFonts w:ascii="宋体" w:hAnsi="宋体" w:eastAsia="宋体" w:cs="宋体"/>
                <w:b w:val="0"/>
                <w:i w:val="0"/>
                <w:sz w:val="18"/>
              </w:rPr>
              <w:t>执行数</w:t>
            </w:r>
          </w:p>
        </w:tc>
        <w:tc>
          <w:tcPr>
            <w:tcW w:w="741" w:type="dxa"/>
            <w:tcBorders>
              <w:top w:val="single" w:color="auto" w:sz="10" w:space="0"/>
              <w:left w:val="single" w:color="auto" w:sz="10" w:space="0"/>
              <w:bottom w:val="single" w:color="auto" w:sz="10" w:space="0"/>
              <w:right w:val="single" w:color="auto" w:sz="10" w:space="0"/>
              <w:insideV w:val="single" w:sz="10" w:space="0"/>
            </w:tcBorders>
            <w:vAlign w:val="center"/>
          </w:tcPr>
          <w:p w14:paraId="0C4898FF">
            <w:pPr>
              <w:spacing w:before="0" w:after="0" w:line="240" w:lineRule="auto"/>
              <w:jc w:val="center"/>
            </w:pPr>
            <w:r>
              <w:rPr>
                <w:rFonts w:ascii="宋体" w:hAnsi="宋体" w:eastAsia="宋体" w:cs="宋体"/>
                <w:b w:val="0"/>
                <w:i w:val="0"/>
                <w:sz w:val="18"/>
              </w:rPr>
              <w:t>分值权重</w:t>
            </w:r>
          </w:p>
        </w:tc>
        <w:tc>
          <w:tcPr>
            <w:tcW w:w="872" w:type="dxa"/>
            <w:tcBorders>
              <w:top w:val="single" w:color="auto" w:sz="10" w:space="0"/>
              <w:left w:val="single" w:color="auto" w:sz="10" w:space="0"/>
              <w:bottom w:val="single" w:color="auto" w:sz="10" w:space="0"/>
              <w:right w:val="single" w:color="auto" w:sz="10" w:space="0"/>
              <w:insideV w:val="single" w:sz="10" w:space="0"/>
            </w:tcBorders>
            <w:vAlign w:val="center"/>
          </w:tcPr>
          <w:p w14:paraId="30AF25BF">
            <w:pPr>
              <w:spacing w:before="0" w:after="0" w:line="240" w:lineRule="auto"/>
              <w:jc w:val="center"/>
            </w:pPr>
            <w:r>
              <w:rPr>
                <w:rFonts w:ascii="宋体" w:hAnsi="宋体" w:eastAsia="宋体" w:cs="宋体"/>
                <w:b w:val="0"/>
                <w:i w:val="0"/>
                <w:sz w:val="18"/>
              </w:rPr>
              <w:t>执行率</w:t>
            </w:r>
          </w:p>
        </w:tc>
        <w:tc>
          <w:tcPr>
            <w:tcW w:w="879" w:type="dxa"/>
            <w:tcBorders>
              <w:top w:val="single" w:color="auto" w:sz="10" w:space="0"/>
              <w:left w:val="single" w:color="auto" w:sz="10" w:space="0"/>
              <w:bottom w:val="single" w:color="auto" w:sz="10" w:space="0"/>
              <w:right w:val="single" w:color="auto" w:sz="10" w:space="0"/>
              <w:insideV w:val="single" w:sz="10" w:space="0"/>
            </w:tcBorders>
            <w:vAlign w:val="center"/>
          </w:tcPr>
          <w:p w14:paraId="69A0E69D">
            <w:pPr>
              <w:spacing w:before="0" w:after="0" w:line="240" w:lineRule="auto"/>
              <w:jc w:val="center"/>
            </w:pPr>
            <w:r>
              <w:rPr>
                <w:rFonts w:ascii="宋体" w:hAnsi="宋体" w:eastAsia="宋体" w:cs="宋体"/>
                <w:b w:val="0"/>
                <w:i w:val="0"/>
                <w:sz w:val="18"/>
              </w:rPr>
              <w:t>得分</w:t>
            </w:r>
          </w:p>
        </w:tc>
      </w:tr>
      <w:tr w14:paraId="25DC9CF8">
        <w:tblPrEx>
          <w:tblCellMar>
            <w:top w:w="36" w:type="dxa"/>
            <w:left w:w="36" w:type="dxa"/>
            <w:bottom w:w="36" w:type="dxa"/>
            <w:right w:w="36" w:type="dxa"/>
          </w:tblCellMar>
        </w:tblPrEx>
        <w:trPr>
          <w:cantSplit/>
          <w:trHeight w:val="880" w:hRule="atLeast"/>
        </w:trPr>
        <w:tc>
          <w:tcPr>
            <w:tcW w:w="1038" w:type="dxa"/>
            <w:vMerge w:val="continue"/>
            <w:tcBorders>
              <w:top w:val="single" w:color="auto" w:sz="10" w:space="0"/>
              <w:left w:val="single" w:color="auto" w:sz="10" w:space="0"/>
              <w:bottom w:val="single" w:color="auto" w:sz="10" w:space="0"/>
              <w:right w:val="single" w:color="auto" w:sz="10" w:space="0"/>
              <w:insideV w:val="single" w:sz="10" w:space="0"/>
            </w:tcBorders>
          </w:tcPr>
          <w:p w14:paraId="5B7EACCC"/>
        </w:tc>
        <w:tc>
          <w:tcPr>
            <w:tcW w:w="1108"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990238">
            <w:pPr>
              <w:spacing w:before="0" w:after="0" w:line="240" w:lineRule="auto"/>
              <w:jc w:val="center"/>
            </w:pPr>
            <w:r>
              <w:rPr>
                <w:rFonts w:ascii="宋体" w:hAnsi="宋体" w:eastAsia="宋体" w:cs="宋体"/>
                <w:b w:val="0"/>
                <w:i w:val="0"/>
                <w:sz w:val="18"/>
              </w:rPr>
              <w:t>财政资金（万元）</w:t>
            </w:r>
          </w:p>
        </w:tc>
        <w:tc>
          <w:tcPr>
            <w:tcW w:w="1172" w:type="dxa"/>
            <w:tcBorders>
              <w:top w:val="single" w:color="auto" w:sz="10" w:space="0"/>
              <w:left w:val="single" w:color="auto" w:sz="10" w:space="0"/>
              <w:bottom w:val="single" w:color="auto" w:sz="10" w:space="0"/>
              <w:right w:val="single" w:color="auto" w:sz="10" w:space="0"/>
              <w:insideV w:val="single" w:sz="10" w:space="0"/>
            </w:tcBorders>
            <w:vAlign w:val="center"/>
          </w:tcPr>
          <w:p w14:paraId="30DC0A9F">
            <w:pPr>
              <w:spacing w:before="0" w:after="0" w:line="240" w:lineRule="auto"/>
              <w:jc w:val="center"/>
            </w:pPr>
            <w:r>
              <w:rPr>
                <w:rFonts w:ascii="宋体" w:hAnsi="宋体" w:eastAsia="宋体" w:cs="宋体"/>
                <w:b w:val="0"/>
                <w:i w:val="0"/>
                <w:sz w:val="18"/>
              </w:rPr>
              <w:t>上级资金</w:t>
            </w:r>
          </w:p>
        </w:tc>
        <w:tc>
          <w:tcPr>
            <w:tcW w:w="1144" w:type="dxa"/>
            <w:tcBorders>
              <w:top w:val="single" w:color="auto" w:sz="10" w:space="0"/>
              <w:left w:val="single" w:color="auto" w:sz="10" w:space="0"/>
              <w:bottom w:val="single" w:color="auto" w:sz="10" w:space="0"/>
              <w:right w:val="single" w:color="auto" w:sz="10" w:space="0"/>
              <w:insideV w:val="single" w:sz="10" w:space="0"/>
            </w:tcBorders>
            <w:vAlign w:val="center"/>
          </w:tcPr>
          <w:p w14:paraId="02D63916">
            <w:pPr>
              <w:spacing w:before="0" w:after="0" w:line="240" w:lineRule="auto"/>
              <w:jc w:val="center"/>
            </w:pPr>
            <w:r>
              <w:rPr>
                <w:rFonts w:ascii="宋体" w:hAnsi="宋体" w:eastAsia="宋体" w:cs="宋体"/>
                <w:b w:val="0"/>
                <w:i w:val="0"/>
                <w:sz w:val="18"/>
              </w:rPr>
              <w:t>0.00</w:t>
            </w:r>
          </w:p>
        </w:tc>
        <w:tc>
          <w:tcPr>
            <w:tcW w:w="928" w:type="dxa"/>
            <w:tcBorders>
              <w:top w:val="single" w:color="auto" w:sz="10" w:space="0"/>
              <w:left w:val="single" w:color="auto" w:sz="10" w:space="0"/>
              <w:bottom w:val="single" w:color="auto" w:sz="10" w:space="0"/>
              <w:right w:val="single" w:color="auto" w:sz="10" w:space="0"/>
              <w:insideV w:val="single" w:sz="10" w:space="0"/>
            </w:tcBorders>
            <w:vAlign w:val="center"/>
          </w:tcPr>
          <w:p w14:paraId="54DA741D">
            <w:pPr>
              <w:spacing w:before="0" w:after="0" w:line="240" w:lineRule="auto"/>
              <w:jc w:val="center"/>
            </w:pPr>
            <w:r>
              <w:rPr>
                <w:rFonts w:ascii="宋体" w:hAnsi="宋体" w:eastAsia="宋体" w:cs="宋体"/>
                <w:b w:val="0"/>
                <w:i w:val="0"/>
                <w:sz w:val="18"/>
              </w:rPr>
              <w:t>0.00</w:t>
            </w:r>
          </w:p>
        </w:tc>
        <w:tc>
          <w:tcPr>
            <w:tcW w:w="963" w:type="dxa"/>
            <w:tcBorders>
              <w:top w:val="single" w:color="auto" w:sz="10" w:space="0"/>
              <w:left w:val="single" w:color="auto" w:sz="10" w:space="0"/>
              <w:bottom w:val="single" w:color="auto" w:sz="10" w:space="0"/>
              <w:right w:val="single" w:color="auto" w:sz="10" w:space="0"/>
              <w:insideV w:val="single" w:sz="10" w:space="0"/>
            </w:tcBorders>
            <w:vAlign w:val="center"/>
          </w:tcPr>
          <w:p w14:paraId="1813E9BC">
            <w:pPr>
              <w:spacing w:before="0" w:after="0" w:line="240" w:lineRule="auto"/>
              <w:jc w:val="center"/>
            </w:pPr>
            <w:r>
              <w:rPr>
                <w:rFonts w:ascii="宋体" w:hAnsi="宋体" w:eastAsia="宋体" w:cs="宋体"/>
                <w:b w:val="0"/>
                <w:i w:val="0"/>
                <w:sz w:val="18"/>
              </w:rPr>
              <w:t>0.00</w:t>
            </w:r>
          </w:p>
        </w:tc>
        <w:tc>
          <w:tcPr>
            <w:tcW w:w="741" w:type="dxa"/>
            <w:tcBorders>
              <w:top w:val="single" w:color="auto" w:sz="10" w:space="0"/>
              <w:left w:val="single" w:color="auto" w:sz="10" w:space="0"/>
              <w:bottom w:val="single" w:color="auto" w:sz="10" w:space="0"/>
              <w:right w:val="single" w:color="auto" w:sz="10" w:space="0"/>
              <w:insideV w:val="single" w:sz="10" w:space="0"/>
            </w:tcBorders>
            <w:vAlign w:val="center"/>
          </w:tcPr>
          <w:p w14:paraId="53A56D46">
            <w:pPr>
              <w:spacing w:before="0" w:after="0" w:line="240" w:lineRule="auto"/>
              <w:jc w:val="center"/>
            </w:pPr>
            <w:r>
              <w:rPr>
                <w:rFonts w:ascii="宋体" w:hAnsi="宋体" w:eastAsia="宋体" w:cs="宋体"/>
                <w:b w:val="0"/>
                <w:i w:val="0"/>
                <w:sz w:val="18"/>
              </w:rPr>
              <w:t>-</w:t>
            </w:r>
          </w:p>
        </w:tc>
        <w:tc>
          <w:tcPr>
            <w:tcW w:w="872" w:type="dxa"/>
            <w:tcBorders>
              <w:top w:val="single" w:color="auto" w:sz="10" w:space="0"/>
              <w:left w:val="single" w:color="auto" w:sz="10" w:space="0"/>
              <w:bottom w:val="single" w:color="auto" w:sz="10" w:space="0"/>
              <w:right w:val="single" w:color="auto" w:sz="10" w:space="0"/>
              <w:insideV w:val="single" w:sz="10" w:space="0"/>
            </w:tcBorders>
            <w:vAlign w:val="center"/>
          </w:tcPr>
          <w:p w14:paraId="61ADA2C0">
            <w:pPr>
              <w:spacing w:before="0" w:after="0" w:line="240" w:lineRule="auto"/>
              <w:jc w:val="center"/>
            </w:pPr>
            <w:r>
              <w:rPr>
                <w:rFonts w:ascii="宋体" w:hAnsi="宋体" w:eastAsia="宋体" w:cs="宋体"/>
                <w:b w:val="0"/>
                <w:i w:val="0"/>
                <w:sz w:val="18"/>
              </w:rPr>
              <w:t>-</w:t>
            </w:r>
          </w:p>
        </w:tc>
        <w:tc>
          <w:tcPr>
            <w:tcW w:w="879" w:type="dxa"/>
            <w:tcBorders>
              <w:top w:val="single" w:color="auto" w:sz="10" w:space="0"/>
              <w:left w:val="single" w:color="auto" w:sz="10" w:space="0"/>
              <w:bottom w:val="single" w:color="auto" w:sz="10" w:space="0"/>
              <w:right w:val="single" w:color="auto" w:sz="10" w:space="0"/>
              <w:insideV w:val="single" w:sz="10" w:space="0"/>
            </w:tcBorders>
            <w:vAlign w:val="center"/>
          </w:tcPr>
          <w:p w14:paraId="3274BDE0">
            <w:pPr>
              <w:spacing w:before="0" w:after="0" w:line="240" w:lineRule="auto"/>
              <w:jc w:val="center"/>
            </w:pPr>
            <w:r>
              <w:rPr>
                <w:rFonts w:ascii="宋体" w:hAnsi="宋体" w:eastAsia="宋体" w:cs="宋体"/>
                <w:b w:val="0"/>
                <w:i w:val="0"/>
                <w:sz w:val="18"/>
              </w:rPr>
              <w:t>-</w:t>
            </w:r>
          </w:p>
        </w:tc>
      </w:tr>
      <w:tr w14:paraId="299585F9">
        <w:tblPrEx>
          <w:tblCellMar>
            <w:top w:w="36" w:type="dxa"/>
            <w:left w:w="36" w:type="dxa"/>
            <w:bottom w:w="36" w:type="dxa"/>
            <w:right w:w="36" w:type="dxa"/>
          </w:tblCellMar>
        </w:tblPrEx>
        <w:trPr>
          <w:cantSplit/>
          <w:trHeight w:val="880" w:hRule="atLeast"/>
        </w:trPr>
        <w:tc>
          <w:tcPr>
            <w:tcW w:w="1038" w:type="dxa"/>
            <w:vMerge w:val="continue"/>
            <w:tcBorders>
              <w:top w:val="single" w:color="auto" w:sz="10" w:space="0"/>
              <w:left w:val="single" w:color="auto" w:sz="10" w:space="0"/>
              <w:bottom w:val="single" w:color="auto" w:sz="10" w:space="0"/>
              <w:right w:val="single" w:color="auto" w:sz="10" w:space="0"/>
              <w:insideV w:val="single" w:sz="10" w:space="0"/>
            </w:tcBorders>
          </w:tcPr>
          <w:p w14:paraId="4904D6A9"/>
        </w:tc>
        <w:tc>
          <w:tcPr>
            <w:tcW w:w="1108" w:type="dxa"/>
            <w:vMerge w:val="continue"/>
            <w:tcBorders>
              <w:top w:val="single" w:color="auto" w:sz="10" w:space="0"/>
              <w:left w:val="single" w:color="auto" w:sz="10" w:space="0"/>
              <w:bottom w:val="single" w:color="auto" w:sz="10" w:space="0"/>
              <w:right w:val="single" w:color="auto" w:sz="10" w:space="0"/>
              <w:insideV w:val="single" w:sz="10" w:space="0"/>
            </w:tcBorders>
          </w:tcPr>
          <w:p w14:paraId="4E72DFA8"/>
        </w:tc>
        <w:tc>
          <w:tcPr>
            <w:tcW w:w="1172" w:type="dxa"/>
            <w:tcBorders>
              <w:top w:val="single" w:color="auto" w:sz="10" w:space="0"/>
              <w:left w:val="single" w:color="auto" w:sz="10" w:space="0"/>
              <w:bottom w:val="single" w:color="auto" w:sz="10" w:space="0"/>
              <w:right w:val="single" w:color="auto" w:sz="10" w:space="0"/>
              <w:insideV w:val="single" w:sz="10" w:space="0"/>
            </w:tcBorders>
            <w:vAlign w:val="center"/>
          </w:tcPr>
          <w:p w14:paraId="57CF7589">
            <w:pPr>
              <w:spacing w:before="0" w:after="0" w:line="240" w:lineRule="auto"/>
              <w:jc w:val="center"/>
            </w:pPr>
            <w:r>
              <w:rPr>
                <w:rFonts w:ascii="宋体" w:hAnsi="宋体" w:eastAsia="宋体" w:cs="宋体"/>
                <w:b w:val="0"/>
                <w:i w:val="0"/>
                <w:sz w:val="18"/>
              </w:rPr>
              <w:t>本级资金</w:t>
            </w:r>
          </w:p>
        </w:tc>
        <w:tc>
          <w:tcPr>
            <w:tcW w:w="1144" w:type="dxa"/>
            <w:tcBorders>
              <w:top w:val="single" w:color="auto" w:sz="10" w:space="0"/>
              <w:left w:val="single" w:color="auto" w:sz="10" w:space="0"/>
              <w:bottom w:val="single" w:color="auto" w:sz="10" w:space="0"/>
              <w:right w:val="single" w:color="auto" w:sz="10" w:space="0"/>
              <w:insideV w:val="single" w:sz="10" w:space="0"/>
            </w:tcBorders>
            <w:vAlign w:val="center"/>
          </w:tcPr>
          <w:p w14:paraId="0CD7849A">
            <w:pPr>
              <w:spacing w:before="0" w:after="0" w:line="240" w:lineRule="auto"/>
              <w:jc w:val="center"/>
            </w:pPr>
            <w:r>
              <w:rPr>
                <w:rFonts w:ascii="宋体" w:hAnsi="宋体" w:eastAsia="宋体" w:cs="宋体"/>
                <w:b w:val="0"/>
                <w:i w:val="0"/>
                <w:sz w:val="18"/>
              </w:rPr>
              <w:t>86.40</w:t>
            </w:r>
          </w:p>
        </w:tc>
        <w:tc>
          <w:tcPr>
            <w:tcW w:w="928" w:type="dxa"/>
            <w:tcBorders>
              <w:top w:val="single" w:color="auto" w:sz="10" w:space="0"/>
              <w:left w:val="single" w:color="auto" w:sz="10" w:space="0"/>
              <w:bottom w:val="single" w:color="auto" w:sz="10" w:space="0"/>
              <w:right w:val="single" w:color="auto" w:sz="10" w:space="0"/>
              <w:insideV w:val="single" w:sz="10" w:space="0"/>
            </w:tcBorders>
            <w:vAlign w:val="center"/>
          </w:tcPr>
          <w:p w14:paraId="0BA33802">
            <w:pPr>
              <w:spacing w:before="0" w:after="0" w:line="240" w:lineRule="auto"/>
              <w:jc w:val="center"/>
            </w:pPr>
            <w:r>
              <w:rPr>
                <w:rFonts w:ascii="宋体" w:hAnsi="宋体" w:eastAsia="宋体" w:cs="宋体"/>
                <w:b w:val="0"/>
                <w:i w:val="0"/>
                <w:sz w:val="18"/>
              </w:rPr>
              <w:t>85.30</w:t>
            </w:r>
          </w:p>
        </w:tc>
        <w:tc>
          <w:tcPr>
            <w:tcW w:w="963" w:type="dxa"/>
            <w:tcBorders>
              <w:top w:val="single" w:color="auto" w:sz="10" w:space="0"/>
              <w:left w:val="single" w:color="auto" w:sz="10" w:space="0"/>
              <w:bottom w:val="single" w:color="auto" w:sz="10" w:space="0"/>
              <w:right w:val="single" w:color="auto" w:sz="10" w:space="0"/>
              <w:insideV w:val="single" w:sz="10" w:space="0"/>
            </w:tcBorders>
            <w:vAlign w:val="center"/>
          </w:tcPr>
          <w:p w14:paraId="7D3DAC14">
            <w:pPr>
              <w:spacing w:before="0" w:after="0" w:line="240" w:lineRule="auto"/>
              <w:jc w:val="center"/>
            </w:pPr>
            <w:r>
              <w:rPr>
                <w:rFonts w:ascii="宋体" w:hAnsi="宋体" w:eastAsia="宋体" w:cs="宋体"/>
                <w:b w:val="0"/>
                <w:i w:val="0"/>
                <w:sz w:val="18"/>
              </w:rPr>
              <w:t>85.30</w:t>
            </w:r>
          </w:p>
        </w:tc>
        <w:tc>
          <w:tcPr>
            <w:tcW w:w="741" w:type="dxa"/>
            <w:tcBorders>
              <w:top w:val="single" w:color="auto" w:sz="10" w:space="0"/>
              <w:left w:val="single" w:color="auto" w:sz="10" w:space="0"/>
              <w:bottom w:val="single" w:color="auto" w:sz="10" w:space="0"/>
              <w:right w:val="single" w:color="auto" w:sz="10" w:space="0"/>
              <w:insideV w:val="single" w:sz="10" w:space="0"/>
            </w:tcBorders>
            <w:vAlign w:val="center"/>
          </w:tcPr>
          <w:p w14:paraId="6AEDA9A0">
            <w:pPr>
              <w:spacing w:before="0" w:after="0" w:line="240" w:lineRule="auto"/>
              <w:jc w:val="center"/>
            </w:pPr>
            <w:r>
              <w:rPr>
                <w:rFonts w:ascii="宋体" w:hAnsi="宋体" w:eastAsia="宋体" w:cs="宋体"/>
                <w:b w:val="0"/>
                <w:i w:val="0"/>
                <w:sz w:val="18"/>
              </w:rPr>
              <w:t>-</w:t>
            </w:r>
          </w:p>
        </w:tc>
        <w:tc>
          <w:tcPr>
            <w:tcW w:w="872" w:type="dxa"/>
            <w:tcBorders>
              <w:top w:val="single" w:color="auto" w:sz="10" w:space="0"/>
              <w:left w:val="single" w:color="auto" w:sz="10" w:space="0"/>
              <w:bottom w:val="single" w:color="auto" w:sz="10" w:space="0"/>
              <w:right w:val="single" w:color="auto" w:sz="10" w:space="0"/>
              <w:insideV w:val="single" w:sz="10" w:space="0"/>
            </w:tcBorders>
            <w:vAlign w:val="center"/>
          </w:tcPr>
          <w:p w14:paraId="5EE47149">
            <w:pPr>
              <w:spacing w:before="0" w:after="0" w:line="240" w:lineRule="auto"/>
              <w:jc w:val="center"/>
            </w:pPr>
            <w:r>
              <w:rPr>
                <w:rFonts w:ascii="宋体" w:hAnsi="宋体" w:eastAsia="宋体" w:cs="宋体"/>
                <w:b w:val="0"/>
                <w:i w:val="0"/>
                <w:sz w:val="18"/>
              </w:rPr>
              <w:t>-</w:t>
            </w:r>
          </w:p>
        </w:tc>
        <w:tc>
          <w:tcPr>
            <w:tcW w:w="879" w:type="dxa"/>
            <w:tcBorders>
              <w:top w:val="single" w:color="auto" w:sz="10" w:space="0"/>
              <w:left w:val="single" w:color="auto" w:sz="10" w:space="0"/>
              <w:bottom w:val="single" w:color="auto" w:sz="10" w:space="0"/>
              <w:right w:val="single" w:color="auto" w:sz="10" w:space="0"/>
              <w:insideV w:val="single" w:sz="10" w:space="0"/>
            </w:tcBorders>
            <w:vAlign w:val="center"/>
          </w:tcPr>
          <w:p w14:paraId="31EE59D4">
            <w:pPr>
              <w:spacing w:before="0" w:after="0" w:line="240" w:lineRule="auto"/>
              <w:jc w:val="center"/>
            </w:pPr>
            <w:r>
              <w:rPr>
                <w:rFonts w:ascii="宋体" w:hAnsi="宋体" w:eastAsia="宋体" w:cs="宋体"/>
                <w:b w:val="0"/>
                <w:i w:val="0"/>
                <w:sz w:val="18"/>
              </w:rPr>
              <w:t>-</w:t>
            </w:r>
          </w:p>
        </w:tc>
      </w:tr>
      <w:tr w14:paraId="21240D28">
        <w:tblPrEx>
          <w:tblCellMar>
            <w:top w:w="36" w:type="dxa"/>
            <w:left w:w="36" w:type="dxa"/>
            <w:bottom w:w="36" w:type="dxa"/>
            <w:right w:w="36" w:type="dxa"/>
          </w:tblCellMar>
        </w:tblPrEx>
        <w:trPr>
          <w:cantSplit/>
          <w:trHeight w:val="880" w:hRule="atLeast"/>
        </w:trPr>
        <w:tc>
          <w:tcPr>
            <w:tcW w:w="1038" w:type="dxa"/>
            <w:vMerge w:val="continue"/>
            <w:tcBorders>
              <w:top w:val="single" w:color="auto" w:sz="10" w:space="0"/>
              <w:left w:val="single" w:color="auto" w:sz="10" w:space="0"/>
              <w:bottom w:val="single" w:color="auto" w:sz="10" w:space="0"/>
              <w:right w:val="single" w:color="auto" w:sz="10" w:space="0"/>
              <w:insideV w:val="single" w:sz="10" w:space="0"/>
            </w:tcBorders>
          </w:tcPr>
          <w:p w14:paraId="500C91FA"/>
        </w:tc>
        <w:tc>
          <w:tcPr>
            <w:tcW w:w="1108" w:type="dxa"/>
            <w:vMerge w:val="continue"/>
            <w:tcBorders>
              <w:top w:val="single" w:color="auto" w:sz="10" w:space="0"/>
              <w:left w:val="single" w:color="auto" w:sz="10" w:space="0"/>
              <w:bottom w:val="single" w:color="auto" w:sz="10" w:space="0"/>
              <w:right w:val="single" w:color="auto" w:sz="10" w:space="0"/>
              <w:insideV w:val="single" w:sz="10" w:space="0"/>
            </w:tcBorders>
          </w:tcPr>
          <w:p w14:paraId="4B6A8655"/>
        </w:tc>
        <w:tc>
          <w:tcPr>
            <w:tcW w:w="1172" w:type="dxa"/>
            <w:tcBorders>
              <w:top w:val="single" w:color="auto" w:sz="10" w:space="0"/>
              <w:left w:val="single" w:color="auto" w:sz="10" w:space="0"/>
              <w:bottom w:val="single" w:color="auto" w:sz="10" w:space="0"/>
              <w:right w:val="single" w:color="auto" w:sz="10" w:space="0"/>
              <w:insideV w:val="single" w:sz="10" w:space="0"/>
            </w:tcBorders>
            <w:vAlign w:val="center"/>
          </w:tcPr>
          <w:p w14:paraId="0431EC8D">
            <w:pPr>
              <w:spacing w:before="0" w:after="0" w:line="240" w:lineRule="auto"/>
              <w:jc w:val="center"/>
            </w:pPr>
            <w:r>
              <w:rPr>
                <w:rFonts w:ascii="宋体" w:hAnsi="宋体" w:eastAsia="宋体" w:cs="宋体"/>
                <w:b w:val="0"/>
                <w:i w:val="0"/>
                <w:sz w:val="18"/>
              </w:rPr>
              <w:t>其他</w:t>
            </w:r>
          </w:p>
        </w:tc>
        <w:tc>
          <w:tcPr>
            <w:tcW w:w="1144" w:type="dxa"/>
            <w:tcBorders>
              <w:top w:val="single" w:color="auto" w:sz="10" w:space="0"/>
              <w:left w:val="single" w:color="auto" w:sz="10" w:space="0"/>
              <w:bottom w:val="single" w:color="auto" w:sz="10" w:space="0"/>
              <w:right w:val="single" w:color="auto" w:sz="10" w:space="0"/>
              <w:insideV w:val="single" w:sz="10" w:space="0"/>
            </w:tcBorders>
            <w:vAlign w:val="center"/>
          </w:tcPr>
          <w:p w14:paraId="7796A3AD">
            <w:pPr>
              <w:spacing w:before="0" w:after="0" w:line="240" w:lineRule="auto"/>
              <w:jc w:val="center"/>
            </w:pPr>
            <w:r>
              <w:rPr>
                <w:rFonts w:ascii="宋体" w:hAnsi="宋体" w:eastAsia="宋体" w:cs="宋体"/>
                <w:b w:val="0"/>
                <w:i w:val="0"/>
                <w:sz w:val="18"/>
              </w:rPr>
              <w:t>140.00</w:t>
            </w:r>
          </w:p>
        </w:tc>
        <w:tc>
          <w:tcPr>
            <w:tcW w:w="928" w:type="dxa"/>
            <w:tcBorders>
              <w:top w:val="single" w:color="auto" w:sz="10" w:space="0"/>
              <w:left w:val="single" w:color="auto" w:sz="10" w:space="0"/>
              <w:bottom w:val="single" w:color="auto" w:sz="10" w:space="0"/>
              <w:right w:val="single" w:color="auto" w:sz="10" w:space="0"/>
              <w:insideV w:val="single" w:sz="10" w:space="0"/>
            </w:tcBorders>
            <w:vAlign w:val="center"/>
          </w:tcPr>
          <w:p w14:paraId="41EF4EC4">
            <w:pPr>
              <w:spacing w:before="0" w:after="0" w:line="240" w:lineRule="auto"/>
              <w:jc w:val="center"/>
            </w:pPr>
            <w:r>
              <w:rPr>
                <w:rFonts w:ascii="宋体" w:hAnsi="宋体" w:eastAsia="宋体" w:cs="宋体"/>
                <w:b w:val="0"/>
                <w:i w:val="0"/>
                <w:sz w:val="18"/>
              </w:rPr>
              <w:t>139.27</w:t>
            </w:r>
          </w:p>
        </w:tc>
        <w:tc>
          <w:tcPr>
            <w:tcW w:w="963" w:type="dxa"/>
            <w:tcBorders>
              <w:top w:val="single" w:color="auto" w:sz="10" w:space="0"/>
              <w:left w:val="single" w:color="auto" w:sz="10" w:space="0"/>
              <w:bottom w:val="single" w:color="auto" w:sz="10" w:space="0"/>
              <w:right w:val="single" w:color="auto" w:sz="10" w:space="0"/>
              <w:insideV w:val="single" w:sz="10" w:space="0"/>
            </w:tcBorders>
            <w:vAlign w:val="center"/>
          </w:tcPr>
          <w:p w14:paraId="65861532">
            <w:pPr>
              <w:spacing w:before="0" w:after="0" w:line="240" w:lineRule="auto"/>
              <w:jc w:val="center"/>
            </w:pPr>
            <w:r>
              <w:rPr>
                <w:rFonts w:ascii="宋体" w:hAnsi="宋体" w:eastAsia="宋体" w:cs="宋体"/>
                <w:b w:val="0"/>
                <w:i w:val="0"/>
                <w:sz w:val="18"/>
              </w:rPr>
              <w:t>139.27</w:t>
            </w:r>
          </w:p>
        </w:tc>
        <w:tc>
          <w:tcPr>
            <w:tcW w:w="741" w:type="dxa"/>
            <w:tcBorders>
              <w:top w:val="single" w:color="auto" w:sz="10" w:space="0"/>
              <w:left w:val="single" w:color="auto" w:sz="10" w:space="0"/>
              <w:bottom w:val="single" w:color="auto" w:sz="10" w:space="0"/>
              <w:right w:val="single" w:color="auto" w:sz="10" w:space="0"/>
              <w:insideV w:val="single" w:sz="10" w:space="0"/>
            </w:tcBorders>
            <w:vAlign w:val="center"/>
          </w:tcPr>
          <w:p w14:paraId="086415B3">
            <w:pPr>
              <w:spacing w:before="0" w:after="0" w:line="240" w:lineRule="auto"/>
              <w:jc w:val="center"/>
            </w:pPr>
            <w:r>
              <w:rPr>
                <w:rFonts w:ascii="宋体" w:hAnsi="宋体" w:eastAsia="宋体" w:cs="宋体"/>
                <w:b w:val="0"/>
                <w:i w:val="0"/>
                <w:sz w:val="18"/>
              </w:rPr>
              <w:t>-</w:t>
            </w:r>
          </w:p>
        </w:tc>
        <w:tc>
          <w:tcPr>
            <w:tcW w:w="872" w:type="dxa"/>
            <w:tcBorders>
              <w:top w:val="single" w:color="auto" w:sz="10" w:space="0"/>
              <w:left w:val="single" w:color="auto" w:sz="10" w:space="0"/>
              <w:bottom w:val="single" w:color="auto" w:sz="10" w:space="0"/>
              <w:right w:val="single" w:color="auto" w:sz="10" w:space="0"/>
              <w:insideV w:val="single" w:sz="10" w:space="0"/>
            </w:tcBorders>
            <w:vAlign w:val="center"/>
          </w:tcPr>
          <w:p w14:paraId="37977D18">
            <w:pPr>
              <w:spacing w:before="0" w:after="0" w:line="240" w:lineRule="auto"/>
              <w:jc w:val="center"/>
            </w:pPr>
            <w:r>
              <w:rPr>
                <w:rFonts w:ascii="宋体" w:hAnsi="宋体" w:eastAsia="宋体" w:cs="宋体"/>
                <w:b w:val="0"/>
                <w:i w:val="0"/>
                <w:sz w:val="18"/>
              </w:rPr>
              <w:t>-</w:t>
            </w:r>
          </w:p>
        </w:tc>
        <w:tc>
          <w:tcPr>
            <w:tcW w:w="879" w:type="dxa"/>
            <w:tcBorders>
              <w:top w:val="single" w:color="auto" w:sz="10" w:space="0"/>
              <w:left w:val="single" w:color="auto" w:sz="10" w:space="0"/>
              <w:bottom w:val="single" w:color="auto" w:sz="10" w:space="0"/>
              <w:right w:val="single" w:color="auto" w:sz="10" w:space="0"/>
              <w:insideV w:val="single" w:sz="10" w:space="0"/>
            </w:tcBorders>
            <w:vAlign w:val="center"/>
          </w:tcPr>
          <w:p w14:paraId="32F10283">
            <w:pPr>
              <w:spacing w:before="0" w:after="0" w:line="240" w:lineRule="auto"/>
              <w:jc w:val="center"/>
            </w:pPr>
            <w:r>
              <w:rPr>
                <w:rFonts w:ascii="宋体" w:hAnsi="宋体" w:eastAsia="宋体" w:cs="宋体"/>
                <w:b w:val="0"/>
                <w:i w:val="0"/>
                <w:sz w:val="18"/>
              </w:rPr>
              <w:t>-</w:t>
            </w:r>
          </w:p>
        </w:tc>
      </w:tr>
      <w:tr w14:paraId="53CA4618">
        <w:tblPrEx>
          <w:tblCellMar>
            <w:top w:w="36" w:type="dxa"/>
            <w:left w:w="36" w:type="dxa"/>
            <w:bottom w:w="36" w:type="dxa"/>
            <w:right w:w="36" w:type="dxa"/>
          </w:tblCellMar>
        </w:tblPrEx>
        <w:trPr>
          <w:cantSplit/>
          <w:trHeight w:val="880" w:hRule="atLeast"/>
        </w:trPr>
        <w:tc>
          <w:tcPr>
            <w:tcW w:w="1038" w:type="dxa"/>
            <w:vMerge w:val="continue"/>
            <w:tcBorders>
              <w:top w:val="single" w:color="auto" w:sz="10" w:space="0"/>
              <w:left w:val="single" w:color="auto" w:sz="10" w:space="0"/>
              <w:bottom w:val="single" w:color="auto" w:sz="10" w:space="0"/>
              <w:right w:val="single" w:color="auto" w:sz="10" w:space="0"/>
              <w:insideV w:val="single" w:sz="10" w:space="0"/>
            </w:tcBorders>
          </w:tcPr>
          <w:p w14:paraId="2BAD942A"/>
        </w:tc>
        <w:tc>
          <w:tcPr>
            <w:tcW w:w="2280"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CA7169">
            <w:pPr>
              <w:spacing w:before="0" w:after="0" w:line="240" w:lineRule="auto"/>
              <w:jc w:val="center"/>
            </w:pPr>
            <w:r>
              <w:rPr>
                <w:rFonts w:ascii="宋体" w:hAnsi="宋体" w:eastAsia="宋体" w:cs="宋体"/>
                <w:b w:val="0"/>
                <w:i w:val="0"/>
                <w:sz w:val="18"/>
              </w:rPr>
              <w:t>合计</w:t>
            </w:r>
          </w:p>
        </w:tc>
        <w:tc>
          <w:tcPr>
            <w:tcW w:w="1144" w:type="dxa"/>
            <w:tcBorders>
              <w:top w:val="single" w:color="auto" w:sz="10" w:space="0"/>
              <w:left w:val="single" w:color="auto" w:sz="10" w:space="0"/>
              <w:bottom w:val="single" w:color="auto" w:sz="10" w:space="0"/>
              <w:right w:val="single" w:color="auto" w:sz="10" w:space="0"/>
              <w:insideV w:val="single" w:sz="10" w:space="0"/>
            </w:tcBorders>
            <w:vAlign w:val="center"/>
          </w:tcPr>
          <w:p w14:paraId="63FD8974">
            <w:pPr>
              <w:spacing w:before="0" w:after="0" w:line="240" w:lineRule="auto"/>
              <w:jc w:val="center"/>
            </w:pPr>
            <w:r>
              <w:rPr>
                <w:rFonts w:ascii="宋体" w:hAnsi="宋体" w:eastAsia="宋体" w:cs="宋体"/>
                <w:b w:val="0"/>
                <w:i w:val="0"/>
                <w:sz w:val="18"/>
              </w:rPr>
              <w:t>226.40</w:t>
            </w:r>
          </w:p>
        </w:tc>
        <w:tc>
          <w:tcPr>
            <w:tcW w:w="928" w:type="dxa"/>
            <w:tcBorders>
              <w:top w:val="single" w:color="auto" w:sz="10" w:space="0"/>
              <w:left w:val="single" w:color="auto" w:sz="10" w:space="0"/>
              <w:bottom w:val="single" w:color="auto" w:sz="10" w:space="0"/>
              <w:right w:val="single" w:color="auto" w:sz="10" w:space="0"/>
              <w:insideV w:val="single" w:sz="10" w:space="0"/>
            </w:tcBorders>
            <w:vAlign w:val="center"/>
          </w:tcPr>
          <w:p w14:paraId="1DF801AA">
            <w:pPr>
              <w:spacing w:before="0" w:after="0" w:line="240" w:lineRule="auto"/>
              <w:jc w:val="center"/>
            </w:pPr>
            <w:r>
              <w:rPr>
                <w:rFonts w:ascii="宋体" w:hAnsi="宋体" w:eastAsia="宋体" w:cs="宋体"/>
                <w:b w:val="0"/>
                <w:i w:val="0"/>
                <w:sz w:val="18"/>
              </w:rPr>
              <w:t>224.57</w:t>
            </w:r>
          </w:p>
        </w:tc>
        <w:tc>
          <w:tcPr>
            <w:tcW w:w="963" w:type="dxa"/>
            <w:tcBorders>
              <w:top w:val="single" w:color="auto" w:sz="10" w:space="0"/>
              <w:left w:val="single" w:color="auto" w:sz="10" w:space="0"/>
              <w:bottom w:val="single" w:color="auto" w:sz="10" w:space="0"/>
              <w:right w:val="single" w:color="auto" w:sz="10" w:space="0"/>
              <w:insideV w:val="single" w:sz="10" w:space="0"/>
            </w:tcBorders>
            <w:vAlign w:val="center"/>
          </w:tcPr>
          <w:p w14:paraId="0ACD89A1">
            <w:pPr>
              <w:spacing w:before="0" w:after="0" w:line="240" w:lineRule="auto"/>
              <w:jc w:val="center"/>
            </w:pPr>
            <w:r>
              <w:rPr>
                <w:rFonts w:ascii="宋体" w:hAnsi="宋体" w:eastAsia="宋体" w:cs="宋体"/>
                <w:b w:val="0"/>
                <w:i w:val="0"/>
                <w:sz w:val="18"/>
              </w:rPr>
              <w:t>224.57</w:t>
            </w:r>
          </w:p>
        </w:tc>
        <w:tc>
          <w:tcPr>
            <w:tcW w:w="741" w:type="dxa"/>
            <w:tcBorders>
              <w:top w:val="single" w:color="auto" w:sz="10" w:space="0"/>
              <w:left w:val="single" w:color="auto" w:sz="10" w:space="0"/>
              <w:bottom w:val="single" w:color="auto" w:sz="10" w:space="0"/>
              <w:right w:val="single" w:color="auto" w:sz="10" w:space="0"/>
              <w:insideV w:val="single" w:sz="10" w:space="0"/>
            </w:tcBorders>
            <w:vAlign w:val="center"/>
          </w:tcPr>
          <w:p w14:paraId="32D6FAFC">
            <w:pPr>
              <w:spacing w:before="0" w:after="0" w:line="240" w:lineRule="auto"/>
              <w:jc w:val="center"/>
            </w:pPr>
            <w:r>
              <w:rPr>
                <w:rFonts w:ascii="宋体" w:hAnsi="宋体" w:eastAsia="宋体" w:cs="宋体"/>
                <w:b w:val="0"/>
                <w:i w:val="0"/>
                <w:sz w:val="18"/>
              </w:rPr>
              <w:t>10</w:t>
            </w:r>
          </w:p>
        </w:tc>
        <w:tc>
          <w:tcPr>
            <w:tcW w:w="872" w:type="dxa"/>
            <w:tcBorders>
              <w:top w:val="single" w:color="auto" w:sz="10" w:space="0"/>
              <w:left w:val="single" w:color="auto" w:sz="10" w:space="0"/>
              <w:bottom w:val="single" w:color="auto" w:sz="10" w:space="0"/>
              <w:right w:val="single" w:color="auto" w:sz="10" w:space="0"/>
              <w:insideV w:val="single" w:sz="10" w:space="0"/>
            </w:tcBorders>
            <w:vAlign w:val="center"/>
          </w:tcPr>
          <w:p w14:paraId="6CED784C">
            <w:pPr>
              <w:spacing w:before="0" w:after="0" w:line="240" w:lineRule="auto"/>
              <w:jc w:val="center"/>
            </w:pPr>
            <w:r>
              <w:rPr>
                <w:rFonts w:ascii="宋体" w:hAnsi="宋体" w:eastAsia="宋体" w:cs="宋体"/>
                <w:b w:val="0"/>
                <w:i w:val="0"/>
                <w:sz w:val="18"/>
              </w:rPr>
              <w:t>100%</w:t>
            </w:r>
          </w:p>
        </w:tc>
        <w:tc>
          <w:tcPr>
            <w:tcW w:w="879" w:type="dxa"/>
            <w:tcBorders>
              <w:top w:val="single" w:color="auto" w:sz="10" w:space="0"/>
              <w:left w:val="single" w:color="auto" w:sz="10" w:space="0"/>
              <w:bottom w:val="single" w:color="auto" w:sz="10" w:space="0"/>
              <w:right w:val="single" w:color="auto" w:sz="10" w:space="0"/>
              <w:insideV w:val="single" w:sz="10" w:space="0"/>
            </w:tcBorders>
            <w:vAlign w:val="center"/>
          </w:tcPr>
          <w:p w14:paraId="197AB352">
            <w:pPr>
              <w:spacing w:before="0" w:after="0" w:line="240" w:lineRule="auto"/>
              <w:jc w:val="center"/>
            </w:pPr>
            <w:r>
              <w:rPr>
                <w:rFonts w:ascii="宋体" w:hAnsi="宋体" w:eastAsia="宋体" w:cs="宋体"/>
                <w:b w:val="0"/>
                <w:i w:val="0"/>
                <w:sz w:val="18"/>
              </w:rPr>
              <w:t>10</w:t>
            </w:r>
          </w:p>
        </w:tc>
      </w:tr>
      <w:tr w14:paraId="2AB4C9B5">
        <w:tblPrEx>
          <w:tblCellMar>
            <w:top w:w="36" w:type="dxa"/>
            <w:left w:w="36" w:type="dxa"/>
            <w:bottom w:w="36" w:type="dxa"/>
            <w:right w:w="36" w:type="dxa"/>
          </w:tblCellMar>
        </w:tblPrEx>
        <w:trPr>
          <w:cantSplit/>
          <w:trHeight w:val="705" w:hRule="atLeast"/>
        </w:trPr>
        <w:tc>
          <w:tcPr>
            <w:tcW w:w="1038"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8F5961">
            <w:pPr>
              <w:spacing w:before="0" w:after="0" w:line="240" w:lineRule="auto"/>
              <w:jc w:val="center"/>
            </w:pPr>
            <w:r>
              <w:rPr>
                <w:rFonts w:ascii="宋体" w:hAnsi="宋体" w:eastAsia="宋体" w:cs="宋体"/>
                <w:b w:val="0"/>
                <w:i w:val="0"/>
                <w:sz w:val="18"/>
              </w:rPr>
              <w:t>年度总体目标</w:t>
            </w:r>
          </w:p>
        </w:tc>
        <w:tc>
          <w:tcPr>
            <w:tcW w:w="43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3CE7168">
            <w:pPr>
              <w:spacing w:before="0" w:after="0" w:line="240" w:lineRule="auto"/>
              <w:jc w:val="center"/>
            </w:pPr>
            <w:r>
              <w:rPr>
                <w:rFonts w:ascii="宋体" w:hAnsi="宋体" w:eastAsia="宋体" w:cs="宋体"/>
                <w:b w:val="0"/>
                <w:i w:val="0"/>
                <w:sz w:val="18"/>
              </w:rPr>
              <w:t>预期目标</w:t>
            </w:r>
          </w:p>
        </w:tc>
        <w:tc>
          <w:tcPr>
            <w:tcW w:w="3455"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E3F3F63">
            <w:pPr>
              <w:spacing w:before="0" w:after="0" w:line="240" w:lineRule="auto"/>
              <w:jc w:val="center"/>
            </w:pPr>
            <w:r>
              <w:rPr>
                <w:rFonts w:ascii="宋体" w:hAnsi="宋体" w:eastAsia="宋体" w:cs="宋体"/>
                <w:b w:val="0"/>
                <w:i w:val="0"/>
                <w:sz w:val="18"/>
              </w:rPr>
              <w:t>实际完成情况</w:t>
            </w:r>
          </w:p>
        </w:tc>
      </w:tr>
      <w:tr w14:paraId="5709FC88">
        <w:tblPrEx>
          <w:tblCellMar>
            <w:top w:w="36" w:type="dxa"/>
            <w:left w:w="36" w:type="dxa"/>
            <w:bottom w:w="36" w:type="dxa"/>
            <w:right w:w="36" w:type="dxa"/>
          </w:tblCellMar>
        </w:tblPrEx>
        <w:trPr>
          <w:trHeight w:val="2000" w:hRule="atLeast"/>
        </w:trPr>
        <w:tc>
          <w:tcPr>
            <w:tcW w:w="1038" w:type="dxa"/>
            <w:vMerge w:val="continue"/>
            <w:tcBorders>
              <w:top w:val="single" w:color="auto" w:sz="10" w:space="0"/>
              <w:left w:val="single" w:color="auto" w:sz="10" w:space="0"/>
              <w:bottom w:val="single" w:color="auto" w:sz="10" w:space="0"/>
              <w:right w:val="single" w:color="auto" w:sz="10" w:space="0"/>
              <w:insideV w:val="single" w:sz="10" w:space="0"/>
            </w:tcBorders>
          </w:tcPr>
          <w:p w14:paraId="1415DF49"/>
        </w:tc>
        <w:tc>
          <w:tcPr>
            <w:tcW w:w="43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561EC4A">
            <w:pPr>
              <w:spacing w:before="0" w:after="0" w:line="240" w:lineRule="auto"/>
              <w:jc w:val="center"/>
            </w:pPr>
            <w:r>
              <w:rPr>
                <w:rFonts w:ascii="宋体" w:hAnsi="宋体" w:eastAsia="宋体" w:cs="宋体"/>
                <w:b w:val="0"/>
                <w:i w:val="0"/>
                <w:sz w:val="18"/>
              </w:rPr>
              <w:t>单位基本职能：组织</w:t>
            </w:r>
            <w:r>
              <w:rPr>
                <w:rFonts w:hint="eastAsia" w:ascii="宋体" w:hAnsi="宋体" w:cs="宋体"/>
                <w:b w:val="0"/>
                <w:i w:val="0"/>
                <w:sz w:val="18"/>
                <w:lang w:eastAsia="zh-CN"/>
              </w:rPr>
              <w:t>制定</w:t>
            </w:r>
            <w:r>
              <w:rPr>
                <w:rFonts w:ascii="宋体" w:hAnsi="宋体" w:eastAsia="宋体" w:cs="宋体"/>
                <w:b w:val="0"/>
                <w:i w:val="0"/>
                <w:sz w:val="18"/>
              </w:rPr>
              <w:t>活动中心建设规划，加强对财务工作的领导，正确使用各项经费，不断改善办学条件，强化安全工作管理，创造良好的育人环境。</w:t>
            </w:r>
            <w:r>
              <w:rPr>
                <w:rFonts w:ascii="宋体" w:hAnsi="宋体" w:eastAsia="宋体" w:cs="宋体"/>
                <w:b w:val="0"/>
                <w:i w:val="0"/>
                <w:sz w:val="18"/>
              </w:rPr>
              <w:cr/>
            </w:r>
            <w:r>
              <w:rPr>
                <w:rFonts w:ascii="宋体" w:hAnsi="宋体" w:eastAsia="宋体" w:cs="宋体"/>
                <w:b w:val="0"/>
                <w:i w:val="0"/>
                <w:sz w:val="18"/>
              </w:rPr>
              <w:t>
机构设置及人员配置：无下属预算单位，下设2个科室，编制数3，实有人数16人，在职3人，退休0人。</w:t>
            </w:r>
            <w:r>
              <w:rPr>
                <w:rFonts w:ascii="宋体" w:hAnsi="宋体" w:eastAsia="宋体" w:cs="宋体"/>
                <w:b w:val="0"/>
                <w:i w:val="0"/>
                <w:sz w:val="18"/>
              </w:rPr>
              <w:cr/>
            </w:r>
            <w:r>
              <w:rPr>
                <w:rFonts w:ascii="宋体" w:hAnsi="宋体" w:eastAsia="宋体" w:cs="宋体"/>
                <w:b w:val="0"/>
                <w:i w:val="0"/>
                <w:sz w:val="18"/>
              </w:rPr>
              <w:t>
2025年度规划：目标1：改善教职工的福利生活，提高福利待遇，努力解除教职工的后顾之忧。目标2：提高教师工作福利待遇，改善教职工生活，解除教职工的后顾之忧。目标3：通过预算执行，保障博乐市青得里第一小学教职工正常的生活、学习和工作。</w:t>
            </w:r>
          </w:p>
        </w:tc>
        <w:tc>
          <w:tcPr>
            <w:tcW w:w="3455"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9A6133D">
            <w:pPr>
              <w:spacing w:before="0" w:after="0" w:line="240" w:lineRule="auto"/>
              <w:jc w:val="center"/>
            </w:pPr>
            <w:r>
              <w:rPr>
                <w:rFonts w:ascii="宋体" w:hAnsi="宋体" w:eastAsia="宋体" w:cs="宋体"/>
                <w:b w:val="0"/>
                <w:i w:val="0"/>
                <w:sz w:val="18"/>
              </w:rPr>
              <w:t>截至2025年12月底，本单位已完成保障在职教师人数1人，退休教师人数2人，教职工社保缴纳率100%，按时发放辅导员老师们的劳务费等工作任务。本年度实际形成支出224.57万元，通过完成以上履职效能，达到了按时缴纳教职工社保的效益。</w:t>
            </w:r>
          </w:p>
        </w:tc>
      </w:tr>
      <w:tr w14:paraId="2CBBB3E1">
        <w:tblPrEx>
          <w:tblCellMar>
            <w:top w:w="36" w:type="dxa"/>
            <w:left w:w="36" w:type="dxa"/>
            <w:bottom w:w="36" w:type="dxa"/>
            <w:right w:w="36" w:type="dxa"/>
          </w:tblCellMar>
        </w:tblPrEx>
        <w:trPr>
          <w:cantSplit/>
          <w:trHeight w:val="580" w:hRule="atLeast"/>
        </w:trPr>
        <w:tc>
          <w:tcPr>
            <w:tcW w:w="214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E64EBE">
            <w:pPr>
              <w:keepNext/>
              <w:spacing w:before="0" w:after="0" w:line="240" w:lineRule="auto"/>
              <w:jc w:val="center"/>
            </w:pPr>
            <w:r>
              <w:rPr>
                <w:rFonts w:ascii="宋体" w:hAnsi="宋体" w:eastAsia="宋体" w:cs="宋体"/>
                <w:b w:val="0"/>
                <w:i w:val="0"/>
                <w:sz w:val="18"/>
              </w:rPr>
              <w:t>一级指标</w:t>
            </w:r>
          </w:p>
        </w:tc>
        <w:tc>
          <w:tcPr>
            <w:tcW w:w="1172" w:type="dxa"/>
            <w:tcBorders>
              <w:top w:val="single" w:color="auto" w:sz="10" w:space="0"/>
              <w:left w:val="single" w:color="auto" w:sz="10" w:space="0"/>
              <w:bottom w:val="single" w:color="auto" w:sz="10" w:space="0"/>
              <w:right w:val="single" w:color="auto" w:sz="10" w:space="0"/>
              <w:insideV w:val="single" w:sz="10" w:space="0"/>
            </w:tcBorders>
            <w:vAlign w:val="center"/>
          </w:tcPr>
          <w:p w14:paraId="640329C8">
            <w:pPr>
              <w:keepNext/>
              <w:spacing w:before="0" w:after="0" w:line="240" w:lineRule="auto"/>
              <w:jc w:val="center"/>
            </w:pPr>
            <w:r>
              <w:rPr>
                <w:rFonts w:ascii="宋体" w:hAnsi="宋体" w:eastAsia="宋体" w:cs="宋体"/>
                <w:b w:val="0"/>
                <w:i w:val="0"/>
                <w:sz w:val="18"/>
              </w:rPr>
              <w:t>二级指标</w:t>
            </w:r>
          </w:p>
        </w:tc>
        <w:tc>
          <w:tcPr>
            <w:tcW w:w="1144" w:type="dxa"/>
            <w:tcBorders>
              <w:top w:val="single" w:color="auto" w:sz="10" w:space="0"/>
              <w:left w:val="single" w:color="auto" w:sz="10" w:space="0"/>
              <w:bottom w:val="single" w:color="auto" w:sz="10" w:space="0"/>
              <w:right w:val="single" w:color="auto" w:sz="10" w:space="0"/>
              <w:insideV w:val="single" w:sz="10" w:space="0"/>
            </w:tcBorders>
            <w:vAlign w:val="center"/>
          </w:tcPr>
          <w:p w14:paraId="3CB72DB3">
            <w:pPr>
              <w:keepNext/>
              <w:spacing w:before="0" w:after="0" w:line="240" w:lineRule="auto"/>
              <w:jc w:val="center"/>
            </w:pPr>
            <w:r>
              <w:rPr>
                <w:rFonts w:ascii="宋体" w:hAnsi="宋体" w:eastAsia="宋体" w:cs="宋体"/>
                <w:b w:val="0"/>
                <w:i w:val="0"/>
                <w:sz w:val="18"/>
              </w:rPr>
              <w:t>三级指标</w:t>
            </w:r>
          </w:p>
        </w:tc>
        <w:tc>
          <w:tcPr>
            <w:tcW w:w="928" w:type="dxa"/>
            <w:tcBorders>
              <w:top w:val="single" w:color="auto" w:sz="10" w:space="0"/>
              <w:left w:val="single" w:color="auto" w:sz="10" w:space="0"/>
              <w:bottom w:val="single" w:color="auto" w:sz="10" w:space="0"/>
              <w:right w:val="single" w:color="auto" w:sz="10" w:space="0"/>
              <w:insideV w:val="single" w:sz="10" w:space="0"/>
            </w:tcBorders>
            <w:vAlign w:val="center"/>
          </w:tcPr>
          <w:p w14:paraId="399B893A">
            <w:pPr>
              <w:keepNext/>
              <w:spacing w:before="0" w:after="0" w:line="240" w:lineRule="auto"/>
              <w:jc w:val="center"/>
            </w:pPr>
            <w:r>
              <w:rPr>
                <w:rFonts w:ascii="宋体" w:hAnsi="宋体" w:eastAsia="宋体" w:cs="宋体"/>
                <w:b w:val="0"/>
                <w:i w:val="0"/>
                <w:sz w:val="18"/>
              </w:rPr>
              <w:t>预期指标值</w:t>
            </w:r>
          </w:p>
        </w:tc>
        <w:tc>
          <w:tcPr>
            <w:tcW w:w="963" w:type="dxa"/>
            <w:tcBorders>
              <w:top w:val="single" w:color="auto" w:sz="10" w:space="0"/>
              <w:left w:val="single" w:color="auto" w:sz="10" w:space="0"/>
              <w:bottom w:val="single" w:color="auto" w:sz="10" w:space="0"/>
              <w:right w:val="single" w:color="auto" w:sz="10" w:space="0"/>
              <w:insideV w:val="single" w:sz="10" w:space="0"/>
            </w:tcBorders>
            <w:vAlign w:val="center"/>
          </w:tcPr>
          <w:p w14:paraId="2CBBF1DB">
            <w:pPr>
              <w:keepNext/>
              <w:spacing w:before="0" w:after="0" w:line="240" w:lineRule="auto"/>
              <w:jc w:val="center"/>
            </w:pPr>
            <w:r>
              <w:rPr>
                <w:rFonts w:ascii="宋体" w:hAnsi="宋体" w:eastAsia="宋体" w:cs="宋体"/>
                <w:b w:val="0"/>
                <w:i w:val="0"/>
                <w:sz w:val="18"/>
              </w:rPr>
              <w:t>指标值设定依据</w:t>
            </w:r>
          </w:p>
        </w:tc>
        <w:tc>
          <w:tcPr>
            <w:tcW w:w="741" w:type="dxa"/>
            <w:tcBorders>
              <w:top w:val="single" w:color="auto" w:sz="10" w:space="0"/>
              <w:left w:val="single" w:color="auto" w:sz="10" w:space="0"/>
              <w:bottom w:val="single" w:color="auto" w:sz="10" w:space="0"/>
              <w:right w:val="single" w:color="auto" w:sz="10" w:space="0"/>
              <w:insideV w:val="single" w:sz="10" w:space="0"/>
            </w:tcBorders>
            <w:vAlign w:val="center"/>
          </w:tcPr>
          <w:p w14:paraId="496D5381">
            <w:pPr>
              <w:keepNext/>
              <w:spacing w:before="0" w:after="0" w:line="240" w:lineRule="auto"/>
              <w:jc w:val="center"/>
            </w:pPr>
            <w:r>
              <w:rPr>
                <w:rFonts w:ascii="宋体" w:hAnsi="宋体" w:eastAsia="宋体" w:cs="宋体"/>
                <w:b w:val="0"/>
                <w:i w:val="0"/>
                <w:sz w:val="18"/>
              </w:rPr>
              <w:t>分值权重</w:t>
            </w:r>
          </w:p>
        </w:tc>
        <w:tc>
          <w:tcPr>
            <w:tcW w:w="872" w:type="dxa"/>
            <w:tcBorders>
              <w:top w:val="single" w:color="auto" w:sz="10" w:space="0"/>
              <w:left w:val="single" w:color="auto" w:sz="10" w:space="0"/>
              <w:bottom w:val="single" w:color="auto" w:sz="10" w:space="0"/>
              <w:right w:val="single" w:color="auto" w:sz="10" w:space="0"/>
              <w:insideV w:val="single" w:sz="10" w:space="0"/>
            </w:tcBorders>
            <w:vAlign w:val="center"/>
          </w:tcPr>
          <w:p w14:paraId="0407F3CE">
            <w:pPr>
              <w:keepNext/>
              <w:spacing w:before="0" w:after="0" w:line="240" w:lineRule="auto"/>
              <w:jc w:val="center"/>
            </w:pPr>
            <w:r>
              <w:rPr>
                <w:rFonts w:ascii="宋体" w:hAnsi="宋体" w:eastAsia="宋体" w:cs="宋体"/>
                <w:b w:val="0"/>
                <w:i w:val="0"/>
                <w:sz w:val="18"/>
              </w:rPr>
              <w:t>实际完成指标值</w:t>
            </w:r>
          </w:p>
        </w:tc>
        <w:tc>
          <w:tcPr>
            <w:tcW w:w="879" w:type="dxa"/>
            <w:tcBorders>
              <w:top w:val="single" w:color="auto" w:sz="10" w:space="0"/>
              <w:left w:val="single" w:color="auto" w:sz="10" w:space="0"/>
              <w:bottom w:val="single" w:color="auto" w:sz="10" w:space="0"/>
              <w:right w:val="single" w:color="auto" w:sz="10" w:space="0"/>
              <w:insideV w:val="single" w:sz="10" w:space="0"/>
            </w:tcBorders>
            <w:vAlign w:val="center"/>
          </w:tcPr>
          <w:p w14:paraId="14D8F748">
            <w:pPr>
              <w:keepNext/>
              <w:spacing w:before="0" w:after="0" w:line="240" w:lineRule="auto"/>
              <w:jc w:val="center"/>
            </w:pPr>
            <w:r>
              <w:rPr>
                <w:rFonts w:ascii="宋体" w:hAnsi="宋体" w:eastAsia="宋体" w:cs="宋体"/>
                <w:b w:val="0"/>
                <w:i w:val="0"/>
                <w:sz w:val="18"/>
              </w:rPr>
              <w:t>得分</w:t>
            </w:r>
          </w:p>
        </w:tc>
      </w:tr>
      <w:tr w14:paraId="0CF8BA08">
        <w:tblPrEx>
          <w:tblCellMar>
            <w:top w:w="36" w:type="dxa"/>
            <w:left w:w="36" w:type="dxa"/>
            <w:bottom w:w="36" w:type="dxa"/>
            <w:right w:w="36" w:type="dxa"/>
          </w:tblCellMar>
        </w:tblPrEx>
        <w:trPr>
          <w:cantSplit/>
          <w:trHeight w:val="740" w:hRule="atLeast"/>
        </w:trPr>
        <w:tc>
          <w:tcPr>
            <w:tcW w:w="2146"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E1BCF7">
            <w:pPr>
              <w:spacing w:before="0" w:after="0" w:line="240" w:lineRule="auto"/>
              <w:jc w:val="center"/>
            </w:pPr>
            <w:r>
              <w:rPr>
                <w:rFonts w:ascii="宋体" w:hAnsi="宋体" w:eastAsia="宋体" w:cs="宋体"/>
                <w:b w:val="0"/>
                <w:i w:val="0"/>
                <w:sz w:val="18"/>
              </w:rPr>
              <w:t>履职效能</w:t>
            </w:r>
          </w:p>
        </w:tc>
        <w:tc>
          <w:tcPr>
            <w:tcW w:w="117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9CAC16">
            <w:pPr>
              <w:spacing w:before="0" w:after="0" w:line="240" w:lineRule="auto"/>
              <w:jc w:val="center"/>
            </w:pPr>
            <w:r>
              <w:rPr>
                <w:rFonts w:ascii="宋体" w:hAnsi="宋体" w:eastAsia="宋体" w:cs="宋体"/>
                <w:b w:val="0"/>
                <w:i w:val="0"/>
                <w:sz w:val="18"/>
              </w:rPr>
              <w:t>数量指标</w:t>
            </w:r>
          </w:p>
        </w:tc>
        <w:tc>
          <w:tcPr>
            <w:tcW w:w="1144" w:type="dxa"/>
            <w:tcBorders>
              <w:top w:val="single" w:color="auto" w:sz="10" w:space="0"/>
              <w:left w:val="single" w:color="auto" w:sz="10" w:space="0"/>
              <w:bottom w:val="single" w:color="auto" w:sz="10" w:space="0"/>
              <w:right w:val="single" w:color="auto" w:sz="10" w:space="0"/>
              <w:insideV w:val="single" w:sz="10" w:space="0"/>
            </w:tcBorders>
            <w:vAlign w:val="center"/>
          </w:tcPr>
          <w:p w14:paraId="2479B680">
            <w:pPr>
              <w:spacing w:before="0" w:after="0" w:line="240" w:lineRule="auto"/>
              <w:jc w:val="center"/>
            </w:pPr>
            <w:r>
              <w:rPr>
                <w:rFonts w:ascii="宋体" w:hAnsi="宋体" w:eastAsia="宋体" w:cs="宋体"/>
                <w:b w:val="0"/>
                <w:i w:val="0"/>
                <w:sz w:val="18"/>
              </w:rPr>
              <w:t>保障假期培训班参与学生人数</w:t>
            </w:r>
          </w:p>
        </w:tc>
        <w:tc>
          <w:tcPr>
            <w:tcW w:w="928" w:type="dxa"/>
            <w:tcBorders>
              <w:top w:val="single" w:color="auto" w:sz="10" w:space="0"/>
              <w:left w:val="single" w:color="auto" w:sz="10" w:space="0"/>
              <w:bottom w:val="single" w:color="auto" w:sz="10" w:space="0"/>
              <w:right w:val="single" w:color="auto" w:sz="10" w:space="0"/>
              <w:insideV w:val="single" w:sz="10" w:space="0"/>
            </w:tcBorders>
            <w:vAlign w:val="center"/>
          </w:tcPr>
          <w:p w14:paraId="5AF9B675">
            <w:pPr>
              <w:spacing w:before="0" w:after="0" w:line="240" w:lineRule="auto"/>
              <w:jc w:val="center"/>
            </w:pPr>
            <w:r>
              <w:rPr>
                <w:rFonts w:ascii="宋体" w:hAnsi="宋体" w:eastAsia="宋体" w:cs="宋体"/>
                <w:b w:val="0"/>
                <w:i w:val="0"/>
                <w:sz w:val="18"/>
              </w:rPr>
              <w:t>&gt;=3500人</w:t>
            </w:r>
          </w:p>
        </w:tc>
        <w:tc>
          <w:tcPr>
            <w:tcW w:w="963" w:type="dxa"/>
            <w:tcBorders>
              <w:top w:val="single" w:color="auto" w:sz="10" w:space="0"/>
              <w:left w:val="single" w:color="auto" w:sz="10" w:space="0"/>
              <w:bottom w:val="single" w:color="auto" w:sz="10" w:space="0"/>
              <w:right w:val="single" w:color="auto" w:sz="10" w:space="0"/>
              <w:insideV w:val="single" w:sz="10" w:space="0"/>
            </w:tcBorders>
            <w:vAlign w:val="center"/>
          </w:tcPr>
          <w:p w14:paraId="64BFA6C3">
            <w:pPr>
              <w:spacing w:before="0" w:after="0" w:line="240" w:lineRule="auto"/>
              <w:jc w:val="center"/>
            </w:pPr>
            <w:r>
              <w:rPr>
                <w:rFonts w:ascii="宋体" w:hAnsi="宋体" w:eastAsia="宋体" w:cs="宋体"/>
                <w:b w:val="0"/>
                <w:i w:val="0"/>
                <w:sz w:val="18"/>
              </w:rPr>
              <w:t>《2025年度工作计划》</w:t>
            </w:r>
          </w:p>
        </w:tc>
        <w:tc>
          <w:tcPr>
            <w:tcW w:w="741" w:type="dxa"/>
            <w:tcBorders>
              <w:top w:val="single" w:color="auto" w:sz="10" w:space="0"/>
              <w:left w:val="single" w:color="auto" w:sz="10" w:space="0"/>
              <w:bottom w:val="single" w:color="auto" w:sz="10" w:space="0"/>
              <w:right w:val="single" w:color="auto" w:sz="10" w:space="0"/>
              <w:insideV w:val="single" w:sz="10" w:space="0"/>
            </w:tcBorders>
            <w:vAlign w:val="center"/>
          </w:tcPr>
          <w:p w14:paraId="3608138C">
            <w:pPr>
              <w:spacing w:before="0" w:after="0" w:line="240" w:lineRule="auto"/>
              <w:jc w:val="center"/>
            </w:pPr>
            <w:r>
              <w:rPr>
                <w:rFonts w:ascii="宋体" w:hAnsi="宋体" w:eastAsia="宋体" w:cs="宋体"/>
                <w:b w:val="0"/>
                <w:i w:val="0"/>
                <w:sz w:val="18"/>
              </w:rPr>
              <w:t>30</w:t>
            </w:r>
          </w:p>
        </w:tc>
        <w:tc>
          <w:tcPr>
            <w:tcW w:w="872" w:type="dxa"/>
            <w:tcBorders>
              <w:top w:val="single" w:color="auto" w:sz="10" w:space="0"/>
              <w:left w:val="single" w:color="auto" w:sz="10" w:space="0"/>
              <w:bottom w:val="single" w:color="auto" w:sz="10" w:space="0"/>
              <w:right w:val="single" w:color="auto" w:sz="10" w:space="0"/>
              <w:insideV w:val="single" w:sz="10" w:space="0"/>
            </w:tcBorders>
            <w:vAlign w:val="center"/>
          </w:tcPr>
          <w:p w14:paraId="692CE42B">
            <w:pPr>
              <w:spacing w:before="0" w:after="0" w:line="240" w:lineRule="auto"/>
              <w:jc w:val="center"/>
            </w:pPr>
            <w:r>
              <w:rPr>
                <w:rFonts w:ascii="宋体" w:hAnsi="宋体" w:eastAsia="宋体" w:cs="宋体"/>
                <w:b w:val="0"/>
                <w:i w:val="0"/>
                <w:sz w:val="18"/>
              </w:rPr>
              <w:t>3246人</w:t>
            </w:r>
          </w:p>
        </w:tc>
        <w:tc>
          <w:tcPr>
            <w:tcW w:w="879" w:type="dxa"/>
            <w:tcBorders>
              <w:top w:val="single" w:color="auto" w:sz="10" w:space="0"/>
              <w:left w:val="single" w:color="auto" w:sz="10" w:space="0"/>
              <w:bottom w:val="single" w:color="auto" w:sz="10" w:space="0"/>
              <w:right w:val="single" w:color="auto" w:sz="10" w:space="0"/>
              <w:insideV w:val="single" w:sz="10" w:space="0"/>
            </w:tcBorders>
            <w:vAlign w:val="center"/>
          </w:tcPr>
          <w:p w14:paraId="347DBD79">
            <w:pPr>
              <w:spacing w:before="0" w:after="0" w:line="240" w:lineRule="auto"/>
              <w:jc w:val="center"/>
            </w:pPr>
            <w:r>
              <w:rPr>
                <w:rFonts w:ascii="宋体" w:hAnsi="宋体" w:eastAsia="宋体" w:cs="宋体"/>
                <w:b w:val="0"/>
                <w:i w:val="0"/>
                <w:sz w:val="18"/>
              </w:rPr>
              <w:t>27.6</w:t>
            </w:r>
          </w:p>
        </w:tc>
      </w:tr>
      <w:tr w14:paraId="33B9CBD9">
        <w:tblPrEx>
          <w:tblCellMar>
            <w:top w:w="36" w:type="dxa"/>
            <w:left w:w="36" w:type="dxa"/>
            <w:bottom w:w="36" w:type="dxa"/>
            <w:right w:w="36" w:type="dxa"/>
          </w:tblCellMar>
        </w:tblPrEx>
        <w:trPr>
          <w:cantSplit/>
          <w:trHeight w:val="740" w:hRule="atLeast"/>
        </w:trPr>
        <w:tc>
          <w:tcPr>
            <w:tcW w:w="2146"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49FE9C4"/>
        </w:tc>
        <w:tc>
          <w:tcPr>
            <w:tcW w:w="1172" w:type="dxa"/>
            <w:vMerge w:val="continue"/>
            <w:tcBorders>
              <w:top w:val="single" w:color="auto" w:sz="10" w:space="0"/>
              <w:left w:val="single" w:color="auto" w:sz="10" w:space="0"/>
              <w:bottom w:val="single" w:color="auto" w:sz="10" w:space="0"/>
              <w:right w:val="single" w:color="auto" w:sz="10" w:space="0"/>
              <w:insideV w:val="single" w:sz="10" w:space="0"/>
            </w:tcBorders>
          </w:tcPr>
          <w:p w14:paraId="1A013EBD"/>
        </w:tc>
        <w:tc>
          <w:tcPr>
            <w:tcW w:w="1144" w:type="dxa"/>
            <w:tcBorders>
              <w:top w:val="single" w:color="auto" w:sz="10" w:space="0"/>
              <w:left w:val="single" w:color="auto" w:sz="10" w:space="0"/>
              <w:bottom w:val="single" w:color="auto" w:sz="10" w:space="0"/>
              <w:right w:val="single" w:color="auto" w:sz="10" w:space="0"/>
              <w:insideV w:val="single" w:sz="10" w:space="0"/>
            </w:tcBorders>
            <w:vAlign w:val="center"/>
          </w:tcPr>
          <w:p w14:paraId="61D1E089">
            <w:pPr>
              <w:spacing w:before="0" w:after="0" w:line="240" w:lineRule="auto"/>
              <w:jc w:val="center"/>
            </w:pPr>
            <w:r>
              <w:rPr>
                <w:rFonts w:ascii="宋体" w:hAnsi="宋体" w:eastAsia="宋体" w:cs="宋体"/>
                <w:b w:val="0"/>
                <w:i w:val="0"/>
                <w:sz w:val="18"/>
              </w:rPr>
              <w:t>开设兴趣班数量</w:t>
            </w:r>
          </w:p>
        </w:tc>
        <w:tc>
          <w:tcPr>
            <w:tcW w:w="928" w:type="dxa"/>
            <w:tcBorders>
              <w:top w:val="single" w:color="auto" w:sz="10" w:space="0"/>
              <w:left w:val="single" w:color="auto" w:sz="10" w:space="0"/>
              <w:bottom w:val="single" w:color="auto" w:sz="10" w:space="0"/>
              <w:right w:val="single" w:color="auto" w:sz="10" w:space="0"/>
              <w:insideV w:val="single" w:sz="10" w:space="0"/>
            </w:tcBorders>
            <w:vAlign w:val="center"/>
          </w:tcPr>
          <w:p w14:paraId="2AAD2062">
            <w:pPr>
              <w:spacing w:before="0" w:after="0" w:line="240" w:lineRule="auto"/>
              <w:jc w:val="center"/>
            </w:pPr>
            <w:r>
              <w:rPr>
                <w:rFonts w:ascii="宋体" w:hAnsi="宋体" w:eastAsia="宋体" w:cs="宋体"/>
                <w:b w:val="0"/>
                <w:i w:val="0"/>
                <w:sz w:val="18"/>
              </w:rPr>
              <w:t>&gt;=75个</w:t>
            </w:r>
          </w:p>
        </w:tc>
        <w:tc>
          <w:tcPr>
            <w:tcW w:w="963" w:type="dxa"/>
            <w:tcBorders>
              <w:top w:val="single" w:color="auto" w:sz="10" w:space="0"/>
              <w:left w:val="single" w:color="auto" w:sz="10" w:space="0"/>
              <w:bottom w:val="single" w:color="auto" w:sz="10" w:space="0"/>
              <w:right w:val="single" w:color="auto" w:sz="10" w:space="0"/>
              <w:insideV w:val="single" w:sz="10" w:space="0"/>
            </w:tcBorders>
            <w:vAlign w:val="center"/>
          </w:tcPr>
          <w:p w14:paraId="59F1E5C0">
            <w:pPr>
              <w:spacing w:before="0" w:after="0" w:line="240" w:lineRule="auto"/>
              <w:jc w:val="center"/>
            </w:pPr>
            <w:r>
              <w:rPr>
                <w:rFonts w:ascii="宋体" w:hAnsi="宋体" w:eastAsia="宋体" w:cs="宋体"/>
                <w:b w:val="0"/>
                <w:i w:val="0"/>
                <w:sz w:val="18"/>
              </w:rPr>
              <w:t>《2025年度工作计划》</w:t>
            </w:r>
          </w:p>
        </w:tc>
        <w:tc>
          <w:tcPr>
            <w:tcW w:w="741" w:type="dxa"/>
            <w:tcBorders>
              <w:top w:val="single" w:color="auto" w:sz="10" w:space="0"/>
              <w:left w:val="single" w:color="auto" w:sz="10" w:space="0"/>
              <w:bottom w:val="single" w:color="auto" w:sz="10" w:space="0"/>
              <w:right w:val="single" w:color="auto" w:sz="10" w:space="0"/>
              <w:insideV w:val="single" w:sz="10" w:space="0"/>
            </w:tcBorders>
            <w:vAlign w:val="center"/>
          </w:tcPr>
          <w:p w14:paraId="27740FA7">
            <w:pPr>
              <w:spacing w:before="0" w:after="0" w:line="240" w:lineRule="auto"/>
              <w:jc w:val="center"/>
            </w:pPr>
            <w:r>
              <w:rPr>
                <w:rFonts w:ascii="宋体" w:hAnsi="宋体" w:eastAsia="宋体" w:cs="宋体"/>
                <w:b w:val="0"/>
                <w:i w:val="0"/>
                <w:sz w:val="18"/>
              </w:rPr>
              <w:t>30</w:t>
            </w:r>
          </w:p>
        </w:tc>
        <w:tc>
          <w:tcPr>
            <w:tcW w:w="872" w:type="dxa"/>
            <w:tcBorders>
              <w:top w:val="single" w:color="auto" w:sz="10" w:space="0"/>
              <w:left w:val="single" w:color="auto" w:sz="10" w:space="0"/>
              <w:bottom w:val="single" w:color="auto" w:sz="10" w:space="0"/>
              <w:right w:val="single" w:color="auto" w:sz="10" w:space="0"/>
              <w:insideV w:val="single" w:sz="10" w:space="0"/>
            </w:tcBorders>
            <w:vAlign w:val="center"/>
          </w:tcPr>
          <w:p w14:paraId="7515CEF3">
            <w:pPr>
              <w:spacing w:before="0" w:after="0" w:line="240" w:lineRule="auto"/>
              <w:jc w:val="center"/>
            </w:pPr>
            <w:r>
              <w:rPr>
                <w:rFonts w:ascii="宋体" w:hAnsi="宋体" w:eastAsia="宋体" w:cs="宋体"/>
                <w:b w:val="0"/>
                <w:i w:val="0"/>
                <w:sz w:val="18"/>
              </w:rPr>
              <w:t>79个</w:t>
            </w:r>
          </w:p>
        </w:tc>
        <w:tc>
          <w:tcPr>
            <w:tcW w:w="879" w:type="dxa"/>
            <w:tcBorders>
              <w:top w:val="single" w:color="auto" w:sz="10" w:space="0"/>
              <w:left w:val="single" w:color="auto" w:sz="10" w:space="0"/>
              <w:bottom w:val="single" w:color="auto" w:sz="10" w:space="0"/>
              <w:right w:val="single" w:color="auto" w:sz="10" w:space="0"/>
              <w:insideV w:val="single" w:sz="10" w:space="0"/>
            </w:tcBorders>
            <w:vAlign w:val="center"/>
          </w:tcPr>
          <w:p w14:paraId="118AADB6">
            <w:pPr>
              <w:spacing w:before="0" w:after="0" w:line="240" w:lineRule="auto"/>
              <w:jc w:val="center"/>
            </w:pPr>
            <w:r>
              <w:rPr>
                <w:rFonts w:ascii="宋体" w:hAnsi="宋体" w:eastAsia="宋体" w:cs="宋体"/>
                <w:b w:val="0"/>
                <w:i w:val="0"/>
                <w:sz w:val="18"/>
              </w:rPr>
              <w:t>30</w:t>
            </w:r>
          </w:p>
        </w:tc>
      </w:tr>
      <w:tr w14:paraId="65368B09">
        <w:tblPrEx>
          <w:tblCellMar>
            <w:top w:w="36" w:type="dxa"/>
            <w:left w:w="36" w:type="dxa"/>
            <w:bottom w:w="36" w:type="dxa"/>
            <w:right w:w="36" w:type="dxa"/>
          </w:tblCellMar>
        </w:tblPrEx>
        <w:trPr>
          <w:cantSplit/>
          <w:trHeight w:val="740" w:hRule="atLeast"/>
        </w:trPr>
        <w:tc>
          <w:tcPr>
            <w:tcW w:w="2146"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1F7A3CF"/>
        </w:tc>
        <w:tc>
          <w:tcPr>
            <w:tcW w:w="1172" w:type="dxa"/>
            <w:vMerge w:val="continue"/>
            <w:tcBorders>
              <w:top w:val="single" w:color="auto" w:sz="10" w:space="0"/>
              <w:left w:val="single" w:color="auto" w:sz="10" w:space="0"/>
              <w:bottom w:val="single" w:color="auto" w:sz="10" w:space="0"/>
              <w:right w:val="single" w:color="auto" w:sz="10" w:space="0"/>
              <w:insideV w:val="single" w:sz="10" w:space="0"/>
            </w:tcBorders>
          </w:tcPr>
          <w:p w14:paraId="081345D7"/>
        </w:tc>
        <w:tc>
          <w:tcPr>
            <w:tcW w:w="1144" w:type="dxa"/>
            <w:tcBorders>
              <w:top w:val="single" w:color="auto" w:sz="10" w:space="0"/>
              <w:left w:val="single" w:color="auto" w:sz="10" w:space="0"/>
              <w:bottom w:val="single" w:color="auto" w:sz="10" w:space="0"/>
              <w:right w:val="single" w:color="auto" w:sz="10" w:space="0"/>
              <w:insideV w:val="single" w:sz="10" w:space="0"/>
            </w:tcBorders>
            <w:vAlign w:val="center"/>
          </w:tcPr>
          <w:p w14:paraId="53F10EB4">
            <w:pPr>
              <w:spacing w:before="0" w:after="0" w:line="240" w:lineRule="auto"/>
              <w:jc w:val="center"/>
            </w:pPr>
            <w:r>
              <w:rPr>
                <w:rFonts w:ascii="宋体" w:hAnsi="宋体" w:eastAsia="宋体" w:cs="宋体"/>
                <w:b w:val="0"/>
                <w:i w:val="0"/>
                <w:sz w:val="18"/>
              </w:rPr>
              <w:t>开展比赛活动次数数量</w:t>
            </w:r>
          </w:p>
        </w:tc>
        <w:tc>
          <w:tcPr>
            <w:tcW w:w="928" w:type="dxa"/>
            <w:tcBorders>
              <w:top w:val="single" w:color="auto" w:sz="10" w:space="0"/>
              <w:left w:val="single" w:color="auto" w:sz="10" w:space="0"/>
              <w:bottom w:val="single" w:color="auto" w:sz="10" w:space="0"/>
              <w:right w:val="single" w:color="auto" w:sz="10" w:space="0"/>
              <w:insideV w:val="single" w:sz="10" w:space="0"/>
            </w:tcBorders>
            <w:vAlign w:val="center"/>
          </w:tcPr>
          <w:p w14:paraId="60828A74">
            <w:pPr>
              <w:spacing w:before="0" w:after="0" w:line="240" w:lineRule="auto"/>
              <w:jc w:val="center"/>
            </w:pPr>
            <w:r>
              <w:rPr>
                <w:rFonts w:ascii="宋体" w:hAnsi="宋体" w:eastAsia="宋体" w:cs="宋体"/>
                <w:b w:val="0"/>
                <w:i w:val="0"/>
                <w:sz w:val="18"/>
              </w:rPr>
              <w:t>&gt;=5次</w:t>
            </w:r>
          </w:p>
        </w:tc>
        <w:tc>
          <w:tcPr>
            <w:tcW w:w="963" w:type="dxa"/>
            <w:tcBorders>
              <w:top w:val="single" w:color="auto" w:sz="10" w:space="0"/>
              <w:left w:val="single" w:color="auto" w:sz="10" w:space="0"/>
              <w:bottom w:val="single" w:color="auto" w:sz="10" w:space="0"/>
              <w:right w:val="single" w:color="auto" w:sz="10" w:space="0"/>
              <w:insideV w:val="single" w:sz="10" w:space="0"/>
            </w:tcBorders>
            <w:vAlign w:val="center"/>
          </w:tcPr>
          <w:p w14:paraId="7B53533D">
            <w:pPr>
              <w:spacing w:before="0" w:after="0" w:line="240" w:lineRule="auto"/>
              <w:jc w:val="center"/>
            </w:pPr>
            <w:r>
              <w:rPr>
                <w:rFonts w:ascii="宋体" w:hAnsi="宋体" w:eastAsia="宋体" w:cs="宋体"/>
                <w:b w:val="0"/>
                <w:i w:val="0"/>
                <w:sz w:val="18"/>
              </w:rPr>
              <w:t>《2025年度工作计划》</w:t>
            </w:r>
          </w:p>
        </w:tc>
        <w:tc>
          <w:tcPr>
            <w:tcW w:w="741" w:type="dxa"/>
            <w:tcBorders>
              <w:top w:val="single" w:color="auto" w:sz="10" w:space="0"/>
              <w:left w:val="single" w:color="auto" w:sz="10" w:space="0"/>
              <w:bottom w:val="single" w:color="auto" w:sz="10" w:space="0"/>
              <w:right w:val="single" w:color="auto" w:sz="10" w:space="0"/>
              <w:insideV w:val="single" w:sz="10" w:space="0"/>
            </w:tcBorders>
            <w:vAlign w:val="center"/>
          </w:tcPr>
          <w:p w14:paraId="10121CDE">
            <w:pPr>
              <w:spacing w:before="0" w:after="0" w:line="240" w:lineRule="auto"/>
              <w:jc w:val="center"/>
            </w:pPr>
            <w:r>
              <w:rPr>
                <w:rFonts w:ascii="宋体" w:hAnsi="宋体" w:eastAsia="宋体" w:cs="宋体"/>
                <w:b w:val="0"/>
                <w:i w:val="0"/>
                <w:sz w:val="18"/>
              </w:rPr>
              <w:t>30</w:t>
            </w:r>
          </w:p>
        </w:tc>
        <w:tc>
          <w:tcPr>
            <w:tcW w:w="872" w:type="dxa"/>
            <w:tcBorders>
              <w:top w:val="single" w:color="auto" w:sz="10" w:space="0"/>
              <w:left w:val="single" w:color="auto" w:sz="10" w:space="0"/>
              <w:bottom w:val="single" w:color="auto" w:sz="10" w:space="0"/>
              <w:right w:val="single" w:color="auto" w:sz="10" w:space="0"/>
              <w:insideV w:val="single" w:sz="10" w:space="0"/>
            </w:tcBorders>
            <w:vAlign w:val="center"/>
          </w:tcPr>
          <w:p w14:paraId="79288464">
            <w:pPr>
              <w:spacing w:before="0" w:after="0" w:line="240" w:lineRule="auto"/>
              <w:jc w:val="center"/>
            </w:pPr>
            <w:r>
              <w:rPr>
                <w:rFonts w:ascii="宋体" w:hAnsi="宋体" w:eastAsia="宋体" w:cs="宋体"/>
                <w:b w:val="0"/>
                <w:i w:val="0"/>
                <w:sz w:val="18"/>
              </w:rPr>
              <w:t>3次</w:t>
            </w:r>
          </w:p>
        </w:tc>
        <w:tc>
          <w:tcPr>
            <w:tcW w:w="879" w:type="dxa"/>
            <w:tcBorders>
              <w:top w:val="single" w:color="auto" w:sz="10" w:space="0"/>
              <w:left w:val="single" w:color="auto" w:sz="10" w:space="0"/>
              <w:bottom w:val="single" w:color="auto" w:sz="10" w:space="0"/>
              <w:right w:val="single" w:color="auto" w:sz="10" w:space="0"/>
              <w:insideV w:val="single" w:sz="10" w:space="0"/>
            </w:tcBorders>
            <w:vAlign w:val="center"/>
          </w:tcPr>
          <w:p w14:paraId="4222CD43">
            <w:pPr>
              <w:spacing w:before="0" w:after="0" w:line="240" w:lineRule="auto"/>
              <w:jc w:val="center"/>
            </w:pPr>
            <w:r>
              <w:rPr>
                <w:rFonts w:ascii="宋体" w:hAnsi="宋体" w:eastAsia="宋体" w:cs="宋体"/>
                <w:b w:val="0"/>
                <w:i w:val="0"/>
                <w:sz w:val="18"/>
              </w:rPr>
              <w:t>30</w:t>
            </w:r>
          </w:p>
        </w:tc>
      </w:tr>
    </w:tbl>
    <w:p w14:paraId="175401E7">
      <w:r>
        <w:br w:type="page"/>
      </w:r>
    </w:p>
    <w:p w14:paraId="233F3D03">
      <w:pPr>
        <w:spacing w:line="640" w:lineRule="exact"/>
        <w:ind w:firstLine="640"/>
        <w:jc w:val="both"/>
        <w:outlineLvl w:val="2"/>
      </w:pPr>
      <w:r>
        <w:rPr>
          <w:rFonts w:ascii="黑体" w:hAnsi="黑体" w:eastAsia="黑体"/>
          <w:sz w:val="32"/>
        </w:rPr>
        <w:t>十二、其他需说明的事项</w:t>
      </w:r>
    </w:p>
    <w:p w14:paraId="18707024">
      <w:pPr>
        <w:spacing w:line="580" w:lineRule="exact"/>
        <w:ind w:firstLine="640"/>
        <w:jc w:val="both"/>
      </w:pPr>
      <w:r>
        <w:rPr>
          <w:rFonts w:ascii="仿宋_GB2312" w:hAnsi="仿宋_GB2312" w:eastAsia="仿宋_GB2312"/>
          <w:b w:val="0"/>
          <w:sz w:val="32"/>
        </w:rPr>
        <w:t>本单位无其他需说明的事项。</w:t>
      </w:r>
    </w:p>
    <w:p w14:paraId="64AC7520">
      <w:r>
        <w:br w:type="page"/>
      </w:r>
    </w:p>
    <w:p w14:paraId="4BD6D9E9">
      <w:pPr>
        <w:spacing w:line="600" w:lineRule="exact"/>
        <w:jc w:val="center"/>
        <w:outlineLvl w:val="0"/>
      </w:pPr>
      <w:r>
        <w:rPr>
          <w:rFonts w:ascii="黑体" w:hAnsi="黑体" w:eastAsia="黑体"/>
          <w:sz w:val="32"/>
        </w:rPr>
        <w:t>第三部分 专业名词解释</w:t>
      </w:r>
    </w:p>
    <w:p w14:paraId="1355F8D3">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74E32187">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15EFC780">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4E1D1D16">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44AFEEE8">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2644E543">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111A3A1B">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2D0A202C">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45132803">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5021C0AC">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40175FCD">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2AECFD92">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72B2CD46">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0CBCB905">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41E5CA3D">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1EA5B491">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28A56E23">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482F9CDC">
      <w:r>
        <w:br w:type="page"/>
      </w:r>
    </w:p>
    <w:p w14:paraId="0E0E111E">
      <w:pPr>
        <w:spacing w:line="240" w:lineRule="auto"/>
        <w:jc w:val="center"/>
        <w:outlineLvl w:val="1"/>
      </w:pPr>
      <w:r>
        <w:rPr>
          <w:rFonts w:ascii="黑体" w:hAnsi="黑体" w:eastAsia="黑体"/>
          <w:sz w:val="32"/>
        </w:rPr>
        <w:t>第四部分 部门决算报表（见附表）</w:t>
      </w:r>
    </w:p>
    <w:p w14:paraId="33A1670B">
      <w:pPr>
        <w:autoSpaceDE w:val="0"/>
        <w:autoSpaceDN w:val="0"/>
        <w:spacing w:line="600" w:lineRule="exact"/>
        <w:ind w:firstLine="640" w:firstLineChars="200"/>
      </w:pPr>
      <w:r>
        <w:rPr>
          <w:rFonts w:ascii="仿宋_GB2312" w:hAnsi="仿宋_GB2312" w:eastAsia="仿宋_GB2312"/>
          <w:b w:val="0"/>
          <w:sz w:val="32"/>
        </w:rPr>
        <w:t>一、《收入支出决算总表》</w:t>
      </w:r>
    </w:p>
    <w:p w14:paraId="3654218A">
      <w:pPr>
        <w:autoSpaceDE w:val="0"/>
        <w:autoSpaceDN w:val="0"/>
        <w:spacing w:line="600" w:lineRule="exact"/>
        <w:ind w:firstLine="640" w:firstLineChars="200"/>
      </w:pPr>
      <w:r>
        <w:rPr>
          <w:rFonts w:ascii="仿宋_GB2312" w:hAnsi="仿宋_GB2312" w:eastAsia="仿宋_GB2312"/>
          <w:b w:val="0"/>
          <w:sz w:val="32"/>
        </w:rPr>
        <w:t>二、《收入决算表》</w:t>
      </w:r>
    </w:p>
    <w:p w14:paraId="625DDACC">
      <w:pPr>
        <w:autoSpaceDE w:val="0"/>
        <w:autoSpaceDN w:val="0"/>
        <w:spacing w:line="600" w:lineRule="exact"/>
        <w:ind w:firstLine="640" w:firstLineChars="200"/>
      </w:pPr>
      <w:r>
        <w:rPr>
          <w:rFonts w:ascii="仿宋_GB2312" w:hAnsi="仿宋_GB2312" w:eastAsia="仿宋_GB2312"/>
          <w:b w:val="0"/>
          <w:sz w:val="32"/>
        </w:rPr>
        <w:t>三、《支出决算表》</w:t>
      </w:r>
    </w:p>
    <w:p w14:paraId="4EC019EE">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74CF929F">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2052F08A">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73E10A2C">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243315E5">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7BA577A5">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36E76AF7">
      <w:pPr>
        <w:autoSpaceDE w:val="0"/>
        <w:autoSpaceDN w:val="0"/>
        <w:spacing w:line="600" w:lineRule="exact"/>
        <w:ind w:firstLine="640" w:firstLineChars="200"/>
      </w:pPr>
    </w:p>
    <w:p w14:paraId="638B0830">
      <w:pPr>
        <w:autoSpaceDE w:val="0"/>
        <w:autoSpaceDN w:val="0"/>
        <w:spacing w:line="600" w:lineRule="exact"/>
        <w:ind w:firstLine="640" w:firstLineChars="200"/>
      </w:pPr>
    </w:p>
    <w:p w14:paraId="5ACAED9E">
      <w:pPr>
        <w:autoSpaceDE w:val="0"/>
        <w:autoSpaceDN w:val="0"/>
        <w:spacing w:line="600" w:lineRule="exact"/>
        <w:ind w:firstLine="640" w:firstLineChars="200"/>
      </w:pPr>
    </w:p>
    <w:p w14:paraId="27C287BE">
      <w:pPr>
        <w:autoSpaceDE w:val="0"/>
        <w:autoSpaceDN w:val="0"/>
        <w:spacing w:line="600" w:lineRule="exact"/>
        <w:ind w:firstLine="640" w:firstLineChars="200"/>
      </w:pPr>
    </w:p>
    <w:p w14:paraId="152B9053">
      <w:pPr>
        <w:autoSpaceDE w:val="0"/>
        <w:autoSpaceDN w:val="0"/>
        <w:spacing w:line="600" w:lineRule="exact"/>
        <w:ind w:firstLine="640" w:firstLineChars="20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DA92530-9C5B-4C59-B589-F218A5BF3F3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AD4D9648-719A-4EE4-BB8F-93615BC695A7}"/>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3" w:fontKey="{C4C94DD8-9B74-41C8-BEDE-1194F4F6CBB7}"/>
  </w:font>
  <w:font w:name="楷体_GB2312">
    <w:panose1 w:val="02010609030101010101"/>
    <w:charset w:val="86"/>
    <w:family w:val="auto"/>
    <w:pitch w:val="default"/>
    <w:sig w:usb0="00000001" w:usb1="080E0000" w:usb2="00000000" w:usb3="00000000" w:csb0="00040000" w:csb1="00000000"/>
    <w:embedRegular r:id="rId4" w:fontKey="{09543A7D-1748-4D7A-8FA9-1B588E1DAB27}"/>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34869ED"/>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customXml/itemProps3.xml><?xml version="1.0" encoding="utf-8"?>
<ds:datastoreItem xmlns:ds="http://schemas.openxmlformats.org/officeDocument/2006/customXml" ds:itemID="{adebef36-6054-41f2-a8e2-d80ac0c0c5e4}">
  <ds:schemaRefs/>
</ds:datastoreItem>
</file>

<file path=docProps/app.xml><?xml version="1.0" encoding="utf-8"?>
<Properties xmlns="http://schemas.openxmlformats.org/officeDocument/2006/extended-properties" xmlns:vt="http://schemas.openxmlformats.org/officeDocument/2006/docPropsVTypes">
  <Template>Normal.dotm</Template>
  <Pages>19</Pages>
  <Words>540</Words>
  <Characters>543</Characters>
  <Lines>10</Lines>
  <Paragraphs>2</Paragraphs>
  <TotalTime>3</TotalTime>
  <ScaleCrop>false</ScaleCrop>
  <LinksUpToDate>false</LinksUpToDate>
  <CharactersWithSpaces>550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来财&amp;十个勤天</cp:lastModifiedBy>
  <cp:lastPrinted>2024-07-22T11:58:00Z</cp:lastPrinted>
  <dcterms:modified xsi:type="dcterms:W3CDTF">2026-09-21T09:38:22Z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eyJoZGlkIjoiNTM1NjJiMTUwNmFhZWNlZmQwNDVjMDAxNDMwM2IwMDkiLCJ1c2VySWQiOiIzNzI2MDMzNTYifQ==</vt:lpwstr>
  </property>
</Properties>
</file>