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博乐市小营盘中学</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14:paraId="7EDF92FB">
      <w:r>
        <w:br w:type="page"/>
      </w:r>
    </w:p>
    <w:p w14:paraId="7BCA0D5E">
      <w:pPr>
        <w:spacing w:line="640" w:lineRule="exact"/>
        <w:jc w:val="center"/>
        <w:outlineLvl w:val="1"/>
      </w:pPr>
      <w:r>
        <w:rPr>
          <w:rFonts w:ascii="黑体" w:hAnsi="黑体" w:eastAsia="黑体"/>
          <w:sz w:val="32"/>
        </w:rPr>
        <w:t>第一部分 单位概况</w:t>
      </w:r>
    </w:p>
    <w:p w14:paraId="1FDD6C2A">
      <w:pPr>
        <w:spacing w:line="640" w:lineRule="exact"/>
        <w:ind w:firstLine="640"/>
        <w:jc w:val="both"/>
        <w:outlineLvl w:val="2"/>
      </w:pPr>
      <w:r>
        <w:rPr>
          <w:rFonts w:ascii="黑体" w:hAnsi="黑体" w:eastAsia="黑体"/>
          <w:sz w:val="32"/>
        </w:rPr>
        <w:t>一、主要职能</w:t>
      </w:r>
    </w:p>
    <w:p w14:paraId="0AA8C33C">
      <w:pPr>
        <w:spacing w:line="580" w:lineRule="exact"/>
        <w:ind w:firstLine="640"/>
        <w:jc w:val="both"/>
      </w:pPr>
      <w:bookmarkStart w:id="0" w:name="_GoBack"/>
      <w:r>
        <w:rPr>
          <w:rFonts w:ascii="仿宋_GB2312" w:hAnsi="仿宋_GB2312" w:eastAsia="仿宋_GB2312"/>
          <w:sz w:val="32"/>
        </w:rPr>
        <w:t>1、</w:t>
      </w:r>
      <w:bookmarkEnd w:id="0"/>
      <w:r>
        <w:rPr>
          <w:rFonts w:ascii="仿宋_GB2312" w:hAnsi="仿宋_GB2312" w:eastAsia="仿宋_GB2312"/>
          <w:sz w:val="32"/>
        </w:rPr>
        <w:t>全面负责学校工作，认真贯彻落实党和国家的方针、政策，正确执行上级主管部门的决议和指示，全面实施素质教育，培养德、智、体、美等方面全面发展的社会主义事业的建设者和接班人。</w:t>
      </w:r>
    </w:p>
    <w:p w14:paraId="01C226D1">
      <w:pPr>
        <w:spacing w:line="580" w:lineRule="exact"/>
        <w:ind w:firstLine="640"/>
        <w:jc w:val="both"/>
      </w:pPr>
      <w:r>
        <w:rPr>
          <w:rFonts w:ascii="仿宋_GB2312" w:hAnsi="仿宋_GB2312" w:eastAsia="仿宋_GB2312"/>
          <w:sz w:val="32"/>
        </w:rPr>
        <w:t>2、根据教育规律、社会要求和学校实际，组织制定学校发展的远景规划、近期目标、学年和学期各项工作计划以及各项工作指标并组织实施。</w:t>
      </w:r>
    </w:p>
    <w:p w14:paraId="02B67AF4">
      <w:pPr>
        <w:spacing w:line="580" w:lineRule="exact"/>
        <w:ind w:firstLine="640"/>
        <w:jc w:val="both"/>
      </w:pPr>
      <w:r>
        <w:rPr>
          <w:rFonts w:ascii="仿宋_GB2312" w:hAnsi="仿宋_GB2312" w:eastAsia="仿宋_GB2312"/>
          <w:sz w:val="32"/>
        </w:rPr>
        <w:t>3、加强学校的科学化管理，制定和健全各项规章制度，规范办学行为，培养良好校风，逐步实现管理决策的科学化，管理方法的定量化和管理手段的现代化。</w:t>
      </w:r>
    </w:p>
    <w:p w14:paraId="1F5B5D25">
      <w:pPr>
        <w:spacing w:line="580" w:lineRule="exact"/>
        <w:ind w:firstLine="640"/>
        <w:jc w:val="both"/>
      </w:pPr>
      <w:r>
        <w:rPr>
          <w:rFonts w:ascii="仿宋_GB2312" w:hAnsi="仿宋_GB2312" w:eastAsia="仿宋_GB2312"/>
          <w:sz w:val="32"/>
        </w:rPr>
        <w:t>4、负责规划，不断提高他们的政治素质、文化业务水平和教研水平。</w:t>
      </w:r>
    </w:p>
    <w:p w14:paraId="66397CBB">
      <w:pPr>
        <w:spacing w:line="580" w:lineRule="exact"/>
        <w:ind w:firstLine="640"/>
        <w:jc w:val="both"/>
      </w:pPr>
      <w:r>
        <w:rPr>
          <w:rFonts w:ascii="仿宋_GB2312" w:hAnsi="仿宋_GB2312" w:eastAsia="仿宋_GB2312"/>
          <w:sz w:val="32"/>
        </w:rPr>
        <w:t>5、领导和组织学校的思想政治工作，把德育工作放在首位。研究思想政治工作的要求、内容、方法和规律，不断加强对学生的思想政治、法制纪律和道德品质教育以及做好管理工作。教育全体教职工做到教书育人、管理育人、服务育人，搞好学校、社会、家庭三结合教育。</w:t>
      </w:r>
    </w:p>
    <w:p w14:paraId="38023D85">
      <w:pPr>
        <w:spacing w:line="580" w:lineRule="exact"/>
        <w:ind w:firstLine="640"/>
        <w:jc w:val="both"/>
      </w:pPr>
      <w:r>
        <w:rPr>
          <w:rFonts w:ascii="仿宋_GB2312" w:hAnsi="仿宋_GB2312" w:eastAsia="仿宋_GB2312"/>
          <w:sz w:val="32"/>
        </w:rPr>
        <w:t>6、负责领导和组织学校的教学工作，坚持以教学为中心，保证教学计划的贯彻执行。要有计划地参加教研活动，有目的地深入教学第一线，了解教师教学和学生学习情况，要大力推进教学改革，加强教研工作的组织领导。有计划地组织教学检查、分析，提出提高教学质量的方法。</w:t>
      </w:r>
    </w:p>
    <w:p w14:paraId="0EFE9151">
      <w:pPr>
        <w:spacing w:line="580" w:lineRule="exact"/>
        <w:ind w:firstLine="640"/>
        <w:jc w:val="both"/>
      </w:pPr>
      <w:r>
        <w:rPr>
          <w:rFonts w:ascii="仿宋_GB2312" w:hAnsi="仿宋_GB2312" w:eastAsia="仿宋_GB2312"/>
          <w:sz w:val="32"/>
        </w:rPr>
        <w:t>7、组织</w:t>
      </w:r>
      <w:r>
        <w:rPr>
          <w:rFonts w:hint="eastAsia" w:ascii="仿宋_GB2312" w:hAnsi="仿宋_GB2312" w:eastAsia="仿宋_GB2312"/>
          <w:sz w:val="32"/>
          <w:lang w:eastAsia="zh-CN"/>
        </w:rPr>
        <w:t>制定</w:t>
      </w:r>
      <w:r>
        <w:rPr>
          <w:rFonts w:ascii="仿宋_GB2312" w:hAnsi="仿宋_GB2312" w:eastAsia="仿宋_GB2312"/>
          <w:sz w:val="32"/>
        </w:rPr>
        <w:t>校园建设规划，加强对财务工作的领导，正确使用各项经费，不断改善办学条件，强化安全工作管理，创造良好的育人环境。改善教职工的福利生活，提高福利待遇，努力解除教职工的后顾之忧。</w:t>
      </w:r>
    </w:p>
    <w:p w14:paraId="60E399A1">
      <w:pPr>
        <w:spacing w:line="580" w:lineRule="exact"/>
        <w:ind w:firstLine="640"/>
        <w:jc w:val="both"/>
      </w:pPr>
      <w:r>
        <w:rPr>
          <w:rFonts w:ascii="仿宋_GB2312" w:hAnsi="仿宋_GB2312" w:eastAsia="仿宋_GB2312"/>
          <w:sz w:val="32"/>
        </w:rPr>
        <w:t>8、加强与党支部的合作，主动接受学校党组织的监督，搞好领导班子的团结和协作。</w:t>
      </w:r>
    </w:p>
    <w:p w14:paraId="38A37E38">
      <w:pPr>
        <w:spacing w:line="580" w:lineRule="exact"/>
        <w:ind w:firstLine="640"/>
        <w:jc w:val="both"/>
      </w:pPr>
      <w:r>
        <w:rPr>
          <w:rFonts w:ascii="仿宋_GB2312" w:hAnsi="仿宋_GB2312" w:eastAsia="仿宋_GB2312"/>
          <w:sz w:val="32"/>
        </w:rPr>
        <w:t>9、依靠群众办学，实行</w:t>
      </w:r>
      <w:r>
        <w:rPr>
          <w:rFonts w:hint="eastAsia" w:ascii="仿宋_GB2312" w:hAnsi="仿宋_GB2312" w:eastAsia="仿宋_GB2312"/>
          <w:sz w:val="32"/>
          <w:lang w:eastAsia="zh-CN"/>
        </w:rPr>
        <w:t>民主管理、民主监督</w:t>
      </w:r>
      <w:r>
        <w:rPr>
          <w:rFonts w:ascii="仿宋_GB2312" w:hAnsi="仿宋_GB2312" w:eastAsia="仿宋_GB2312"/>
          <w:sz w:val="32"/>
        </w:rPr>
        <w:t>。负责定期向教代会报告工作，充分发挥教代会参与学校</w:t>
      </w:r>
      <w:r>
        <w:rPr>
          <w:rFonts w:hint="eastAsia" w:ascii="仿宋_GB2312" w:hAnsi="仿宋_GB2312" w:eastAsia="仿宋_GB2312"/>
          <w:sz w:val="32"/>
          <w:lang w:eastAsia="zh-CN"/>
        </w:rPr>
        <w:t>民主管理、民主监督</w:t>
      </w:r>
      <w:r>
        <w:rPr>
          <w:rFonts w:ascii="仿宋_GB2312" w:hAnsi="仿宋_GB2312" w:eastAsia="仿宋_GB2312"/>
          <w:sz w:val="32"/>
        </w:rPr>
        <w:t>的作用，支持其在职权范围内所</w:t>
      </w:r>
      <w:r>
        <w:rPr>
          <w:rFonts w:hint="eastAsia" w:ascii="仿宋_GB2312" w:hAnsi="仿宋_GB2312" w:eastAsia="仿宋_GB2312"/>
          <w:sz w:val="32"/>
          <w:lang w:eastAsia="zh-CN"/>
        </w:rPr>
        <w:t>作</w:t>
      </w:r>
      <w:r>
        <w:rPr>
          <w:rFonts w:ascii="仿宋_GB2312" w:hAnsi="仿宋_GB2312" w:eastAsia="仿宋_GB2312"/>
          <w:sz w:val="32"/>
        </w:rPr>
        <w:t>的有关决定。督促和检查教代会提案的办理与落实。</w:t>
      </w:r>
    </w:p>
    <w:p w14:paraId="06337F5B">
      <w:pPr>
        <w:spacing w:line="580" w:lineRule="exact"/>
        <w:ind w:firstLine="640"/>
        <w:jc w:val="both"/>
      </w:pPr>
      <w:r>
        <w:rPr>
          <w:rFonts w:ascii="仿宋_GB2312" w:hAnsi="仿宋_GB2312" w:eastAsia="仿宋_GB2312"/>
          <w:sz w:val="32"/>
        </w:rPr>
        <w:t>10、主持学校与学生家长及社会的联系工作和外来工作。搞好</w:t>
      </w:r>
      <w:r>
        <w:rPr>
          <w:rFonts w:hint="eastAsia" w:ascii="仿宋_GB2312" w:hAnsi="仿宋_GB2312" w:eastAsia="仿宋_GB2312"/>
          <w:sz w:val="32"/>
          <w:lang w:eastAsia="zh-CN"/>
        </w:rPr>
        <w:t>校际</w:t>
      </w:r>
      <w:r>
        <w:rPr>
          <w:rFonts w:ascii="仿宋_GB2312" w:hAnsi="仿宋_GB2312" w:eastAsia="仿宋_GB2312"/>
          <w:sz w:val="32"/>
        </w:rPr>
        <w:t>交往；做好与社会各界的联系工作，争取各方面力量对学校的支持，为办好学校创造良好的外部条件。</w:t>
      </w:r>
    </w:p>
    <w:p w14:paraId="542D2F20">
      <w:pPr>
        <w:spacing w:line="640" w:lineRule="exact"/>
        <w:ind w:firstLine="640"/>
        <w:jc w:val="both"/>
        <w:outlineLvl w:val="2"/>
      </w:pPr>
      <w:r>
        <w:rPr>
          <w:rFonts w:ascii="黑体" w:hAnsi="黑体" w:eastAsia="黑体"/>
          <w:sz w:val="32"/>
        </w:rPr>
        <w:t>二、机构设置</w:t>
      </w:r>
    </w:p>
    <w:p w14:paraId="514E01D2">
      <w:pPr>
        <w:spacing w:line="580" w:lineRule="exact"/>
        <w:ind w:firstLine="640"/>
        <w:jc w:val="both"/>
      </w:pPr>
      <w:r>
        <w:rPr>
          <w:rFonts w:ascii="仿宋_GB2312" w:hAnsi="仿宋_GB2312" w:eastAsia="仿宋_GB2312"/>
          <w:sz w:val="32"/>
        </w:rPr>
        <w:t>博乐市小营盘中学无下属预算单位。</w:t>
      </w:r>
    </w:p>
    <w:p w14:paraId="4323774E">
      <w:r>
        <w:br w:type="page"/>
      </w:r>
    </w:p>
    <w:p w14:paraId="31E9730B">
      <w:pPr>
        <w:spacing w:line="240" w:lineRule="auto"/>
        <w:jc w:val="center"/>
        <w:outlineLvl w:val="1"/>
      </w:pPr>
      <w:r>
        <w:rPr>
          <w:rFonts w:ascii="黑体" w:hAnsi="黑体" w:eastAsia="黑体"/>
          <w:sz w:val="32"/>
        </w:rPr>
        <w:t>第二部分 部门决算情况说明</w:t>
      </w:r>
    </w:p>
    <w:p w14:paraId="334ABE02">
      <w:pPr>
        <w:spacing w:line="640" w:lineRule="exact"/>
        <w:ind w:firstLine="640"/>
        <w:jc w:val="both"/>
        <w:outlineLvl w:val="2"/>
      </w:pPr>
      <w:r>
        <w:rPr>
          <w:rFonts w:ascii="黑体" w:hAnsi="黑体" w:eastAsia="黑体"/>
          <w:sz w:val="32"/>
        </w:rPr>
        <w:t>一、收入支出决算总体情况说明</w:t>
      </w:r>
    </w:p>
    <w:p w14:paraId="0398ED8C">
      <w:pPr>
        <w:spacing w:line="580" w:lineRule="exact"/>
        <w:ind w:firstLine="640"/>
        <w:jc w:val="both"/>
      </w:pPr>
      <w:r>
        <w:rPr>
          <w:rFonts w:ascii="仿宋_GB2312" w:hAnsi="仿宋_GB2312" w:eastAsia="仿宋_GB2312"/>
          <w:b/>
          <w:sz w:val="32"/>
        </w:rPr>
        <w:t>2025年度收入总计3,302.90万元，</w:t>
      </w:r>
      <w:r>
        <w:rPr>
          <w:rFonts w:ascii="仿宋_GB2312" w:hAnsi="仿宋_GB2312" w:eastAsia="仿宋_GB2312"/>
          <w:b w:val="0"/>
          <w:sz w:val="32"/>
        </w:rPr>
        <w:t>其中：本年收入合计3,302.90万元，使用非财政拨款结余（含专用结余）0.00万元，年初结转和结余0.00万元。</w:t>
      </w:r>
    </w:p>
    <w:p w14:paraId="593F1EA0">
      <w:pPr>
        <w:spacing w:line="580" w:lineRule="exact"/>
        <w:ind w:firstLine="640"/>
        <w:jc w:val="both"/>
      </w:pPr>
      <w:r>
        <w:rPr>
          <w:rFonts w:ascii="仿宋_GB2312" w:hAnsi="仿宋_GB2312" w:eastAsia="仿宋_GB2312"/>
          <w:b/>
          <w:sz w:val="32"/>
        </w:rPr>
        <w:t>2025年度支出总计3,302.90万元，</w:t>
      </w:r>
      <w:r>
        <w:rPr>
          <w:rFonts w:ascii="仿宋_GB2312" w:hAnsi="仿宋_GB2312" w:eastAsia="仿宋_GB2312"/>
          <w:b w:val="0"/>
          <w:sz w:val="32"/>
        </w:rPr>
        <w:t>其中：本年支出合计</w:t>
      </w:r>
      <w:r>
        <w:rPr>
          <w:rFonts w:ascii="仿宋_GB2312" w:hAnsi="仿宋_GB2312" w:eastAsia="仿宋_GB2312"/>
          <w:b w:val="0"/>
          <w:spacing w:val="-6"/>
          <w:sz w:val="32"/>
        </w:rPr>
        <w:t>3,302.90万元，结余分配0.00万元，年末结转和结余0.00万元。</w:t>
      </w:r>
    </w:p>
    <w:p w14:paraId="125405D6">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增加237.86万元，增长7.76%，主要原因是：本年在职人员工资调增，社保、公积金基数调增，人员经费增加。增加义务教育农村校舍安全保障长效机制项目资金、中央城乡义务教育补助经费-公用经费-初中，相应支出增加。</w:t>
      </w:r>
    </w:p>
    <w:p w14:paraId="2B865343">
      <w:pPr>
        <w:spacing w:line="640" w:lineRule="exact"/>
        <w:ind w:firstLine="640"/>
        <w:jc w:val="both"/>
        <w:outlineLvl w:val="2"/>
      </w:pPr>
      <w:r>
        <w:rPr>
          <w:rFonts w:ascii="黑体" w:hAnsi="黑体" w:eastAsia="黑体"/>
          <w:sz w:val="32"/>
        </w:rPr>
        <w:t>二、收入决算情况说明</w:t>
      </w:r>
    </w:p>
    <w:p w14:paraId="1FF97AF4">
      <w:pPr>
        <w:spacing w:line="580" w:lineRule="exact"/>
        <w:ind w:firstLine="640"/>
        <w:jc w:val="both"/>
      </w:pPr>
      <w:r>
        <w:rPr>
          <w:rFonts w:ascii="仿宋_GB2312" w:hAnsi="仿宋_GB2312" w:eastAsia="仿宋_GB2312"/>
          <w:b/>
          <w:sz w:val="32"/>
        </w:rPr>
        <w:t>本年收入3,302.90万元，</w:t>
      </w:r>
      <w:r>
        <w:rPr>
          <w:rFonts w:ascii="仿宋_GB2312" w:hAnsi="仿宋_GB2312" w:eastAsia="仿宋_GB2312"/>
          <w:b w:val="0"/>
          <w:sz w:val="32"/>
        </w:rPr>
        <w:t>其中：财政拨款收入3,298.31万元，占99.86%；上级补助收入0.00万元，占0.00%；事业收入0.00万元，占0.00%；经营收入0.00万元，占0.00%；附属单位上缴收入0.00万元，占0.00%；其他收入4.59万元，占0.14%。</w:t>
      </w:r>
    </w:p>
    <w:p w14:paraId="6FBA815F">
      <w:pPr>
        <w:spacing w:line="640" w:lineRule="exact"/>
        <w:ind w:firstLine="640"/>
        <w:jc w:val="both"/>
        <w:outlineLvl w:val="2"/>
      </w:pPr>
      <w:r>
        <w:rPr>
          <w:rFonts w:ascii="黑体" w:hAnsi="黑体" w:eastAsia="黑体"/>
          <w:sz w:val="32"/>
        </w:rPr>
        <w:t>三、支出决算情况说明</w:t>
      </w:r>
    </w:p>
    <w:p w14:paraId="0F74F563">
      <w:pPr>
        <w:spacing w:line="580" w:lineRule="exact"/>
        <w:ind w:firstLine="640"/>
        <w:jc w:val="both"/>
      </w:pPr>
      <w:r>
        <w:rPr>
          <w:rFonts w:ascii="仿宋_GB2312" w:hAnsi="仿宋_GB2312" w:eastAsia="仿宋_GB2312"/>
          <w:b/>
          <w:sz w:val="32"/>
        </w:rPr>
        <w:t>本年支出3,302.90万元，</w:t>
      </w:r>
      <w:r>
        <w:rPr>
          <w:rFonts w:ascii="仿宋_GB2312" w:hAnsi="仿宋_GB2312" w:eastAsia="仿宋_GB2312"/>
          <w:b w:val="0"/>
          <w:sz w:val="32"/>
        </w:rPr>
        <w:t>其中：基本支出2,875.08万元，占87.05%；项目支出427.82万元，占12.95%；上缴上级支出0.00万元，占0.00%；经营支出0.00万元，占0.00%；对附属单位补助支出0.00万元，占0.00%。</w:t>
      </w:r>
    </w:p>
    <w:p w14:paraId="0B19069B">
      <w:pPr>
        <w:spacing w:line="640" w:lineRule="exact"/>
        <w:ind w:firstLine="640"/>
        <w:jc w:val="both"/>
        <w:outlineLvl w:val="2"/>
      </w:pPr>
      <w:r>
        <w:rPr>
          <w:rFonts w:ascii="黑体" w:hAnsi="黑体" w:eastAsia="黑体"/>
          <w:sz w:val="32"/>
        </w:rPr>
        <w:t>四、财政拨款收入支出决算总体情况说明</w:t>
      </w:r>
    </w:p>
    <w:p w14:paraId="39945BE4">
      <w:pPr>
        <w:spacing w:line="580" w:lineRule="exact"/>
        <w:ind w:firstLine="640"/>
        <w:jc w:val="both"/>
      </w:pPr>
      <w:r>
        <w:rPr>
          <w:rFonts w:ascii="仿宋_GB2312" w:hAnsi="仿宋_GB2312" w:eastAsia="仿宋_GB2312"/>
          <w:b/>
          <w:sz w:val="32"/>
        </w:rPr>
        <w:t>2025年度财政拨款收入总计3,298.31万元，</w:t>
      </w:r>
      <w:r>
        <w:rPr>
          <w:rFonts w:ascii="仿宋_GB2312" w:hAnsi="仿宋_GB2312" w:eastAsia="仿宋_GB2312"/>
          <w:b w:val="0"/>
          <w:sz w:val="32"/>
        </w:rPr>
        <w:t>其中：年初财政拨款结转和结余0.00万元，本年财政拨款收入3,298.31万元。</w:t>
      </w:r>
      <w:r>
        <w:rPr>
          <w:rFonts w:ascii="仿宋_GB2312" w:hAnsi="仿宋_GB2312" w:eastAsia="仿宋_GB2312"/>
          <w:b/>
          <w:sz w:val="32"/>
        </w:rPr>
        <w:t>财政拨款支出总计3,298.31万元，</w:t>
      </w:r>
      <w:r>
        <w:rPr>
          <w:rFonts w:ascii="仿宋_GB2312" w:hAnsi="仿宋_GB2312" w:eastAsia="仿宋_GB2312"/>
          <w:b w:val="0"/>
          <w:sz w:val="32"/>
        </w:rPr>
        <w:t>其中：年末财政拨款结转和结余0.00万元，本年财政拨款支出3,298.31万元。</w:t>
      </w:r>
    </w:p>
    <w:p w14:paraId="48568B44">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增加254.18万元，增长8.35%，主要原因是：本年在职人员工资调增，社保、公积金基数调增，人员经费增加。增加义务教育农村校舍安全保障长效机制项目资金、中央城乡义务教育补助经费-公用经费-初中，相应支出增加。</w:t>
      </w:r>
      <w:r>
        <w:rPr>
          <w:rFonts w:ascii="仿宋_GB2312" w:hAnsi="仿宋_GB2312" w:eastAsia="仿宋_GB2312"/>
          <w:b/>
          <w:sz w:val="32"/>
        </w:rPr>
        <w:t>与年初预算相比，</w:t>
      </w:r>
      <w:r>
        <w:rPr>
          <w:rFonts w:ascii="仿宋_GB2312" w:hAnsi="仿宋_GB2312" w:eastAsia="仿宋_GB2312"/>
          <w:b w:val="0"/>
          <w:sz w:val="32"/>
        </w:rPr>
        <w:t>年初预算数3,216.12万元，决算数3,298.31万元，预决算差异率2.56%，主要原因是：年中追加人员工资、社保、公积金基数调增部分资金，导致预决算存在差异。</w:t>
      </w:r>
    </w:p>
    <w:p w14:paraId="7C09CB4C">
      <w:pPr>
        <w:spacing w:line="640" w:lineRule="exact"/>
        <w:ind w:firstLine="640"/>
        <w:jc w:val="both"/>
        <w:outlineLvl w:val="2"/>
      </w:pPr>
      <w:r>
        <w:rPr>
          <w:rFonts w:ascii="黑体" w:hAnsi="黑体" w:eastAsia="黑体"/>
          <w:sz w:val="32"/>
        </w:rPr>
        <w:t>五、一般公共预算财政拨款支出决算情况说明</w:t>
      </w:r>
    </w:p>
    <w:p w14:paraId="0CCAD466">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教育事业发展、日常运转等重点支出，体现在有关支出科目中。</w:t>
      </w:r>
    </w:p>
    <w:p w14:paraId="1A6EAEF0">
      <w:pPr>
        <w:spacing w:line="580" w:lineRule="exact"/>
        <w:ind w:firstLine="640"/>
        <w:jc w:val="both"/>
        <w:rPr>
          <w:spacing w:val="-6"/>
          <w:sz w:val="32"/>
        </w:rPr>
      </w:pPr>
      <w:r>
        <w:rPr>
          <w:rFonts w:ascii="仿宋_GB2312" w:hAnsi="仿宋_GB2312" w:eastAsia="仿宋_GB2312"/>
          <w:b w:val="0"/>
          <w:sz w:val="32"/>
        </w:rPr>
        <w:t>按照支出功能分类，教育支出（类）普通教育（款）初中教育（项）的支出占本年财政拨款支出总额的比重最高，2025年度决算数为3,298.31万元，占比100.00%，主要用于在职人员工</w:t>
      </w:r>
      <w:r>
        <w:rPr>
          <w:rFonts w:ascii="仿宋_GB2312" w:hAnsi="仿宋_GB2312" w:eastAsia="仿宋_GB2312"/>
          <w:b w:val="0"/>
          <w:spacing w:val="-6"/>
          <w:sz w:val="32"/>
        </w:rPr>
        <w:t>资福利、日常公用经费、义务教育农村校舍安全保障长效机制项目。</w:t>
      </w:r>
    </w:p>
    <w:p w14:paraId="4050ABC1">
      <w:pPr>
        <w:spacing w:line="640" w:lineRule="exact"/>
        <w:ind w:firstLine="640"/>
        <w:jc w:val="both"/>
        <w:outlineLvl w:val="3"/>
      </w:pPr>
      <w:r>
        <w:rPr>
          <w:rFonts w:ascii="楷体_GB2312" w:hAnsi="楷体_GB2312" w:eastAsia="楷体_GB2312"/>
          <w:b/>
          <w:sz w:val="32"/>
        </w:rPr>
        <w:t>（一）一般公共预算财政拨款支出决算总体情况</w:t>
      </w:r>
    </w:p>
    <w:p w14:paraId="75E41D39">
      <w:pPr>
        <w:spacing w:line="580" w:lineRule="exact"/>
        <w:ind w:firstLine="640"/>
        <w:jc w:val="both"/>
        <w:rPr>
          <w:spacing w:val="-6"/>
          <w:sz w:val="32"/>
        </w:rPr>
      </w:pPr>
      <w:r>
        <w:rPr>
          <w:rFonts w:ascii="仿宋_GB2312" w:hAnsi="仿宋_GB2312" w:eastAsia="仿宋_GB2312"/>
          <w:b/>
          <w:sz w:val="32"/>
        </w:rPr>
        <w:t>2025年度一般公共预算财政拨款支出3,298.31万元，</w:t>
      </w:r>
      <w:r>
        <w:rPr>
          <w:rFonts w:ascii="仿宋_GB2312" w:hAnsi="仿宋_GB2312" w:eastAsia="仿宋_GB2312"/>
          <w:b w:val="0"/>
          <w:sz w:val="32"/>
        </w:rPr>
        <w:t>占本年支出合计的99.86%。</w:t>
      </w:r>
      <w:r>
        <w:rPr>
          <w:rFonts w:ascii="仿宋_GB2312" w:hAnsi="仿宋_GB2312" w:eastAsia="仿宋_GB2312"/>
          <w:b/>
          <w:sz w:val="32"/>
        </w:rPr>
        <w:t>与上年相比，</w:t>
      </w:r>
      <w:r>
        <w:rPr>
          <w:rFonts w:ascii="仿宋_GB2312" w:hAnsi="仿宋_GB2312" w:eastAsia="仿宋_GB2312"/>
          <w:b w:val="0"/>
          <w:sz w:val="32"/>
        </w:rPr>
        <w:t>增加254.18万元，增长8.35%，主要原因是：本年在职人员工资调增，社保、公积金基数调增，人员经费增加。增加义务教育农村校舍安全保障长效机制项目资金、中央城乡义务教育补助经费-公用经费-初中，相应支出增加。</w:t>
      </w:r>
      <w:r>
        <w:rPr>
          <w:rFonts w:ascii="仿宋_GB2312" w:hAnsi="仿宋_GB2312" w:eastAsia="仿宋_GB2312"/>
          <w:b/>
          <w:sz w:val="32"/>
        </w:rPr>
        <w:t>与年初预算相比，</w:t>
      </w:r>
      <w:r>
        <w:rPr>
          <w:rFonts w:ascii="仿宋_GB2312" w:hAnsi="仿宋_GB2312" w:eastAsia="仿宋_GB2312"/>
          <w:b w:val="0"/>
          <w:sz w:val="32"/>
        </w:rPr>
        <w:t>年初预算数3,216.12万元，决算数3,298.31万元，预决算差异率2.56%，主要原因是：年中追加</w:t>
      </w:r>
      <w:r>
        <w:rPr>
          <w:rFonts w:ascii="仿宋_GB2312" w:hAnsi="仿宋_GB2312" w:eastAsia="仿宋_GB2312"/>
          <w:b w:val="0"/>
          <w:spacing w:val="-6"/>
          <w:sz w:val="32"/>
        </w:rPr>
        <w:t>人员工资、社保、公积金基数调增部分资金，导致预决算存在差异。</w:t>
      </w:r>
    </w:p>
    <w:p w14:paraId="3CF831FB">
      <w:pPr>
        <w:spacing w:line="640" w:lineRule="exact"/>
        <w:ind w:firstLine="640"/>
        <w:jc w:val="both"/>
        <w:outlineLvl w:val="3"/>
      </w:pPr>
      <w:r>
        <w:rPr>
          <w:rFonts w:ascii="楷体_GB2312" w:hAnsi="楷体_GB2312" w:eastAsia="楷体_GB2312"/>
          <w:b/>
          <w:sz w:val="32"/>
        </w:rPr>
        <w:t>（二）一般公共预算财政拨款支出决算结构情况</w:t>
      </w:r>
    </w:p>
    <w:p w14:paraId="0CB3E194">
      <w:pPr>
        <w:spacing w:line="580" w:lineRule="exact"/>
        <w:ind w:firstLine="640"/>
        <w:jc w:val="both"/>
      </w:pPr>
      <w:r>
        <w:rPr>
          <w:rFonts w:ascii="仿宋_GB2312" w:hAnsi="仿宋_GB2312" w:eastAsia="仿宋_GB2312"/>
          <w:b w:val="0"/>
          <w:sz w:val="32"/>
        </w:rPr>
        <w:t>1.教育支出（类）3,298.31万元，占100.00%。</w:t>
      </w:r>
    </w:p>
    <w:p w14:paraId="73D58357">
      <w:pPr>
        <w:spacing w:line="640" w:lineRule="exact"/>
        <w:ind w:firstLine="640"/>
        <w:jc w:val="both"/>
        <w:outlineLvl w:val="3"/>
      </w:pPr>
      <w:r>
        <w:rPr>
          <w:rFonts w:ascii="楷体_GB2312" w:hAnsi="楷体_GB2312" w:eastAsia="楷体_GB2312"/>
          <w:b/>
          <w:sz w:val="32"/>
        </w:rPr>
        <w:t>（三）一般公共预算财政拨款支出决算具体情况</w:t>
      </w:r>
    </w:p>
    <w:p w14:paraId="054884B0">
      <w:pPr>
        <w:spacing w:line="580" w:lineRule="exact"/>
        <w:ind w:firstLine="640"/>
        <w:jc w:val="both"/>
      </w:pPr>
      <w:r>
        <w:rPr>
          <w:rFonts w:ascii="仿宋_GB2312" w:hAnsi="仿宋_GB2312" w:eastAsia="仿宋_GB2312"/>
          <w:b w:val="0"/>
          <w:sz w:val="32"/>
        </w:rPr>
        <w:t>1.教育支出（类）普通教育（款）初中教育（项）：支出决算数为3,298.31万元，比上年决算增加259.08万元，增长8.52%，主要原因是：本年在职人员工资调增，社保、公积金基数调增，人员经费增加。增加义务教育农村校舍安全保障长效机制项目资金、中央城乡义务教育补助经费-公用经费-初中，相应支出增加。</w:t>
      </w:r>
    </w:p>
    <w:p w14:paraId="04769E43">
      <w:pPr>
        <w:spacing w:line="580" w:lineRule="exact"/>
        <w:ind w:firstLine="640"/>
        <w:jc w:val="both"/>
      </w:pPr>
      <w:r>
        <w:rPr>
          <w:rFonts w:ascii="仿宋_GB2312" w:hAnsi="仿宋_GB2312" w:eastAsia="仿宋_GB2312"/>
          <w:b w:val="0"/>
          <w:sz w:val="32"/>
        </w:rPr>
        <w:t>2.教育支出（类）教育费附加安排的支出（款）农村中小学教学设施（项）：支出决算数为0.00万元，比上年决算减少4.91万元，下降100.00%，主要原因是：本年减少博乐市中小学护眼灯安装资金。</w:t>
      </w:r>
    </w:p>
    <w:p w14:paraId="2965ABC9">
      <w:pPr>
        <w:spacing w:line="640" w:lineRule="exact"/>
        <w:ind w:firstLine="640"/>
        <w:jc w:val="both"/>
        <w:outlineLvl w:val="2"/>
      </w:pPr>
      <w:r>
        <w:rPr>
          <w:rFonts w:ascii="黑体" w:hAnsi="黑体" w:eastAsia="黑体"/>
          <w:sz w:val="32"/>
        </w:rPr>
        <w:t>六、一般公共预算财政拨款基本支出决算情况说明</w:t>
      </w:r>
    </w:p>
    <w:p w14:paraId="04583387">
      <w:pPr>
        <w:spacing w:line="580" w:lineRule="exact"/>
        <w:ind w:firstLine="640"/>
        <w:jc w:val="both"/>
      </w:pPr>
      <w:r>
        <w:rPr>
          <w:rFonts w:ascii="仿宋_GB2312" w:hAnsi="仿宋_GB2312" w:eastAsia="仿宋_GB2312"/>
          <w:b w:val="0"/>
          <w:sz w:val="32"/>
        </w:rPr>
        <w:t>2025年度一般公共预算财政拨款基本支出2,874.84万元，其中：</w:t>
      </w:r>
      <w:r>
        <w:rPr>
          <w:rFonts w:ascii="仿宋_GB2312" w:hAnsi="仿宋_GB2312" w:eastAsia="仿宋_GB2312"/>
          <w:b/>
          <w:sz w:val="32"/>
        </w:rPr>
        <w:t>人员经费2,843.16万元，</w:t>
      </w:r>
      <w:r>
        <w:rPr>
          <w:rFonts w:ascii="仿宋_GB2312" w:hAnsi="仿宋_GB2312" w:eastAsia="仿宋_GB2312"/>
          <w:b w:val="0"/>
          <w:sz w:val="32"/>
        </w:rPr>
        <w:t>包括：基本工资、津贴补贴、奖金、绩效工资、机关事业单位基本养老保险缴费、职业年金缴费、职工基本医疗保险缴费、公务员医疗补助缴费、其他社会保障缴费、住房公积金、退休费、奖励金。</w:t>
      </w:r>
    </w:p>
    <w:p w14:paraId="5A1E86A0">
      <w:pPr>
        <w:spacing w:line="580" w:lineRule="exact"/>
        <w:ind w:firstLine="640"/>
        <w:jc w:val="both"/>
      </w:pPr>
      <w:r>
        <w:rPr>
          <w:rFonts w:ascii="仿宋_GB2312" w:hAnsi="仿宋_GB2312" w:eastAsia="仿宋_GB2312"/>
          <w:b/>
          <w:sz w:val="32"/>
        </w:rPr>
        <w:t>公用经费31.68万元，</w:t>
      </w:r>
      <w:r>
        <w:rPr>
          <w:rFonts w:ascii="仿宋_GB2312" w:hAnsi="仿宋_GB2312" w:eastAsia="仿宋_GB2312"/>
          <w:b w:val="0"/>
          <w:sz w:val="32"/>
        </w:rPr>
        <w:t>包括：工会经费、福利费。</w:t>
      </w:r>
    </w:p>
    <w:p w14:paraId="0F8FFF67">
      <w:pPr>
        <w:spacing w:line="640" w:lineRule="exact"/>
        <w:ind w:firstLine="640"/>
        <w:jc w:val="both"/>
        <w:outlineLvl w:val="2"/>
      </w:pPr>
      <w:r>
        <w:rPr>
          <w:rFonts w:ascii="黑体" w:hAnsi="黑体" w:eastAsia="黑体"/>
          <w:sz w:val="32"/>
        </w:rPr>
        <w:t>七、政府性基金预算财政拨款收入支出决算情况说明</w:t>
      </w:r>
    </w:p>
    <w:p w14:paraId="292E8D48">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14:paraId="5860A828">
      <w:pPr>
        <w:spacing w:line="640" w:lineRule="exact"/>
        <w:ind w:firstLine="640"/>
        <w:jc w:val="both"/>
        <w:outlineLvl w:val="2"/>
      </w:pPr>
      <w:r>
        <w:rPr>
          <w:rFonts w:ascii="黑体" w:hAnsi="黑体" w:eastAsia="黑体"/>
          <w:sz w:val="32"/>
        </w:rPr>
        <w:t>八、国有资本经营预算财政拨款收入支出决算情况说明</w:t>
      </w:r>
    </w:p>
    <w:p w14:paraId="6469DBB7">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14:paraId="7D8EB9AF">
      <w:pPr>
        <w:spacing w:line="640" w:lineRule="exact"/>
        <w:ind w:firstLine="640"/>
        <w:jc w:val="both"/>
        <w:outlineLvl w:val="2"/>
      </w:pPr>
      <w:r>
        <w:rPr>
          <w:rFonts w:ascii="黑体" w:hAnsi="黑体" w:eastAsia="黑体"/>
          <w:sz w:val="32"/>
        </w:rPr>
        <w:t>九、财政拨款“三公”经费支出决算情况说明</w:t>
      </w:r>
    </w:p>
    <w:p w14:paraId="615F153E">
      <w:pPr>
        <w:spacing w:line="580" w:lineRule="exact"/>
        <w:ind w:firstLine="640"/>
        <w:jc w:val="both"/>
      </w:pPr>
      <w:r>
        <w:rPr>
          <w:rFonts w:ascii="仿宋_GB2312" w:hAnsi="仿宋_GB2312" w:eastAsia="仿宋_GB2312"/>
          <w:b/>
          <w:sz w:val="32"/>
        </w:rPr>
        <w:t>2025年度财政拨款“三公”经费支出0.00万元，</w:t>
      </w:r>
      <w:r>
        <w:rPr>
          <w:rFonts w:ascii="仿宋_GB2312" w:hAnsi="仿宋_GB2312" w:eastAsia="仿宋_GB2312"/>
          <w:b w:val="0"/>
          <w:sz w:val="32"/>
        </w:rPr>
        <w:t>比上年增加0.00万元，增长0.00%，主要原因是：2024年与2025年均无财政拨款“三公”经费支出。其中：因公出国（境）费用支出0.00万元，占0.00%，比上年增加0.00万元，增长0.00%，主要原因是：2024年与2025年均无因公出国（境）费用支出。公务用车购置及运行维护费支出0.00万元，占0.00%，比上年增加0.00万元，增长0.00%，主要原因是：2024年与2025年均无公务用车购置及运行维护费支出。公务接待费支出0.00万元，占0.00%，比上年增加0.00万元，增长0.00%，主要原因是：2024年与2025年均无公务接待费支出。</w:t>
      </w:r>
    </w:p>
    <w:p w14:paraId="01E0420C">
      <w:pPr>
        <w:spacing w:line="580" w:lineRule="exact"/>
        <w:ind w:firstLine="640"/>
        <w:jc w:val="both"/>
      </w:pPr>
      <w:r>
        <w:rPr>
          <w:rFonts w:ascii="仿宋_GB2312" w:hAnsi="仿宋_GB2312" w:eastAsia="仿宋_GB2312"/>
          <w:b/>
          <w:sz w:val="32"/>
        </w:rPr>
        <w:t>具体情况如下：</w:t>
      </w:r>
    </w:p>
    <w:p w14:paraId="4871EE73">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14:paraId="1FC3580C">
      <w:pPr>
        <w:spacing w:line="580" w:lineRule="exact"/>
        <w:ind w:firstLine="640"/>
        <w:jc w:val="both"/>
      </w:pPr>
      <w:r>
        <w:rPr>
          <w:rFonts w:ascii="仿宋_GB2312" w:hAnsi="仿宋_GB2312" w:eastAsia="仿宋_GB2312"/>
          <w:b w:val="0"/>
          <w:sz w:val="32"/>
        </w:rPr>
        <w:t>公务用车购置及运行维护费0.00万元，其中：公务用车购置费0.00万元，公务用车运行维护费0.00万元。公务用车运行维护费开支内容包括本单位无公务用车运行维护费。公务用车购置数0辆，公务用车保有量0辆。国有资产占用情况中固定资产车辆0辆，与公务用车保有量差异原因是：本单位无公务用车保有量和固定资产车辆。</w:t>
      </w:r>
    </w:p>
    <w:p w14:paraId="2E70846F">
      <w:pPr>
        <w:spacing w:line="580" w:lineRule="exact"/>
        <w:ind w:firstLine="640"/>
        <w:jc w:val="both"/>
      </w:pPr>
      <w:r>
        <w:rPr>
          <w:rFonts w:ascii="仿宋_GB2312" w:hAnsi="仿宋_GB2312" w:eastAsia="仿宋_GB2312"/>
          <w:b w:val="0"/>
          <w:sz w:val="32"/>
        </w:rPr>
        <w:t>公务接待费0.00万元，开支内容包括本单位无公务接待费。单位全年安排的国内公务接待0批次，0人次。</w:t>
      </w:r>
    </w:p>
    <w:p w14:paraId="3805BA44">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0.00万元，决算数0.00万元，预决算差异率0.00%，主要原因是：本单位无财政拨款“三公”经费。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0.00万元，决算数0.00万元，预决算差异率0.00%，主要原因是：本单位无公务用车运行维护费。公务接待费全年预算数0.00万元，决算数0.00万元，预决算差异率0.00%，主要原因是：本单位无公务接待费。</w:t>
      </w:r>
    </w:p>
    <w:p w14:paraId="4626FC1F">
      <w:pPr>
        <w:spacing w:line="640" w:lineRule="exact"/>
        <w:ind w:firstLine="640"/>
        <w:jc w:val="both"/>
        <w:outlineLvl w:val="2"/>
      </w:pPr>
      <w:r>
        <w:rPr>
          <w:rFonts w:ascii="黑体" w:hAnsi="黑体" w:eastAsia="黑体"/>
          <w:sz w:val="32"/>
        </w:rPr>
        <w:t>十、其他重要事项的情况说明</w:t>
      </w:r>
    </w:p>
    <w:p w14:paraId="112B996C">
      <w:pPr>
        <w:spacing w:line="640" w:lineRule="exact"/>
        <w:ind w:firstLine="640"/>
        <w:jc w:val="both"/>
        <w:outlineLvl w:val="3"/>
      </w:pPr>
      <w:r>
        <w:rPr>
          <w:rFonts w:ascii="楷体_GB2312" w:hAnsi="楷体_GB2312" w:eastAsia="楷体_GB2312"/>
          <w:b/>
          <w:sz w:val="32"/>
        </w:rPr>
        <w:t>（一）机关运行经费及公用经费支出情况</w:t>
      </w:r>
    </w:p>
    <w:p w14:paraId="5083EEB8">
      <w:pPr>
        <w:spacing w:line="580" w:lineRule="exact"/>
        <w:ind w:firstLine="640"/>
        <w:jc w:val="both"/>
      </w:pPr>
      <w:r>
        <w:rPr>
          <w:rFonts w:ascii="仿宋_GB2312" w:hAnsi="仿宋_GB2312" w:eastAsia="仿宋_GB2312"/>
          <w:b w:val="0"/>
          <w:sz w:val="32"/>
        </w:rPr>
        <w:t>2025年度博乐市小营盘中学（事业单位）公用经费支出31.68万元，比上年增加0.16万元，增长0.51%，主要原因是：本年增加福利费，导致公用经费增加。</w:t>
      </w:r>
    </w:p>
    <w:p w14:paraId="18E498E1">
      <w:pPr>
        <w:spacing w:line="640" w:lineRule="exact"/>
        <w:ind w:firstLine="640"/>
        <w:jc w:val="both"/>
        <w:outlineLvl w:val="3"/>
      </w:pPr>
      <w:r>
        <w:rPr>
          <w:rFonts w:ascii="楷体_GB2312" w:hAnsi="楷体_GB2312" w:eastAsia="楷体_GB2312"/>
          <w:b/>
          <w:sz w:val="32"/>
        </w:rPr>
        <w:t>（二）政府采购情况</w:t>
      </w:r>
    </w:p>
    <w:p w14:paraId="7D2A4FD5">
      <w:pPr>
        <w:spacing w:line="580" w:lineRule="exact"/>
        <w:ind w:firstLine="640"/>
        <w:jc w:val="both"/>
      </w:pPr>
      <w:r>
        <w:rPr>
          <w:rFonts w:ascii="仿宋_GB2312" w:hAnsi="仿宋_GB2312" w:eastAsia="仿宋_GB2312"/>
          <w:b w:val="0"/>
          <w:sz w:val="32"/>
        </w:rPr>
        <w:t>2025年度政府采购支出总额173.32万元，其中：政府采购货物支出58.21万元、政府采购工程支出85.30万元、政府采购服务支出29.81万元。</w:t>
      </w:r>
    </w:p>
    <w:p w14:paraId="120313F3">
      <w:pPr>
        <w:spacing w:line="580" w:lineRule="exact"/>
        <w:ind w:firstLine="640"/>
        <w:jc w:val="both"/>
      </w:pPr>
      <w:r>
        <w:rPr>
          <w:rFonts w:ascii="仿宋_GB2312" w:hAnsi="仿宋_GB2312" w:eastAsia="仿宋_GB2312"/>
          <w:b w:val="0"/>
          <w:sz w:val="32"/>
        </w:rPr>
        <w:t>授予中小企业合同金额173.32万元，占政府采购支出总额的100.00%，其中：授予小微企业合同金额173.32万元，占政府采购支出总额的100.00%。</w:t>
      </w:r>
    </w:p>
    <w:p w14:paraId="5F218886">
      <w:pPr>
        <w:spacing w:line="640" w:lineRule="exact"/>
        <w:ind w:firstLine="640"/>
        <w:jc w:val="both"/>
        <w:outlineLvl w:val="3"/>
      </w:pPr>
      <w:r>
        <w:rPr>
          <w:rFonts w:ascii="楷体_GB2312" w:hAnsi="楷体_GB2312" w:eastAsia="楷体_GB2312"/>
          <w:b/>
          <w:sz w:val="32"/>
        </w:rPr>
        <w:t>（三）国有资产占用情况说明</w:t>
      </w:r>
    </w:p>
    <w:p w14:paraId="6813C939">
      <w:pPr>
        <w:spacing w:line="580" w:lineRule="exact"/>
        <w:ind w:firstLine="640"/>
        <w:jc w:val="both"/>
      </w:pPr>
      <w:r>
        <w:rPr>
          <w:rFonts w:ascii="仿宋_GB2312" w:hAnsi="仿宋_GB2312" w:eastAsia="仿宋_GB2312"/>
          <w:b w:val="0"/>
          <w:sz w:val="32"/>
        </w:rPr>
        <w:t>截至2025年12月31日，房屋13,626.56平方米，价值2,451.31万元。车辆0辆，价值0.00万元，其中：副部（省）级及以上领导用车0辆、主要负责人用车0辆、机要通信用车0辆、应急保障用车0辆、执法执勤用车0辆、特种专业技术用车0辆、离退休干部服务用车0辆、其他用车0辆，其他用车主要是：本单位无其他用车。单价100万元（含）以上设备（不含车辆）0台（套）。</w:t>
      </w:r>
    </w:p>
    <w:p w14:paraId="4A339FBB">
      <w:pPr>
        <w:spacing w:line="640" w:lineRule="exact"/>
        <w:ind w:firstLine="640"/>
        <w:jc w:val="both"/>
        <w:outlineLvl w:val="2"/>
      </w:pPr>
      <w:r>
        <w:rPr>
          <w:rFonts w:ascii="黑体" w:hAnsi="黑体" w:eastAsia="黑体"/>
          <w:sz w:val="32"/>
        </w:rPr>
        <w:t>十一、预算绩效的情况说明</w:t>
      </w:r>
    </w:p>
    <w:p w14:paraId="4EFF7668">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3,314.89万元，实际执行总额3,302.90万元；预算绩效评价项目0个，全年预算数0.00万元，全年执行数0.00万元。预算绩效管理取得的成效：一是制定明确清晰的工作目标和指标，更好</w:t>
      </w:r>
      <w:r>
        <w:rPr>
          <w:rFonts w:hint="eastAsia" w:ascii="仿宋_GB2312" w:hAnsi="仿宋_GB2312" w:eastAsia="仿宋_GB2312"/>
          <w:b w:val="0"/>
          <w:sz w:val="32"/>
          <w:lang w:eastAsia="zh-CN"/>
        </w:rPr>
        <w:t>地</w:t>
      </w:r>
      <w:r>
        <w:rPr>
          <w:rFonts w:ascii="仿宋_GB2312" w:hAnsi="仿宋_GB2312" w:eastAsia="仿宋_GB2312"/>
          <w:b w:val="0"/>
          <w:sz w:val="32"/>
        </w:rPr>
        <w:t>开展业务工作；二是加强绩效的评估，确保绩效管理运营的顺畅和高效。发现的问题及原因：一是存在的主要问题单位各部门对项目资金的绩效意识还有待加强，对项目资金的分配及使用要加大执行力度，以期实现最大效益化。二是原因分析绩效自评包含项目自评等内容，许多项目经办人员未能参与到绩效工作业务培训中来，对预算绩效工作重视度不够。下一步改进措施：一是加快建立校内预算绩效管理机制、体制。建立“预算编制有目标、预算完成有评价、评价结果有反馈、反馈结果有应用”的预算绩效管理机制。二是大力开展宣传教育，提高预算绩效管理认识。树立全员绩效、全过程绩效理念，将绩效理念、绩效要求贯穿到财务管理的各个环节，使之与预算编制、预算执行及预算监督一起成为预算管理的有机组成部分；三是加强预算绩效管理人员队伍建设，特别是在绩效指标和标准设置方面，项目管理和实施人员熟悉项目业务属性但不了解财政绩效管理业务，对项目管理和执行人员进行业务指导不够。大力开展预算绩效管理和实施人员业务教育，通过参加财政和主管部门培训，提升绩效管理相关人员业务素质。具体附整体支出绩效自评表。</w:t>
      </w:r>
    </w:p>
    <w:p w14:paraId="3EE1E6C0">
      <w:r>
        <w:br w:type="page"/>
      </w:r>
    </w:p>
    <w:tbl>
      <w:tblPr>
        <w:tblStyle w:val="8"/>
        <w:tblW w:w="0" w:type="auto"/>
        <w:tblInd w:w="0" w:type="dxa"/>
        <w:tblLayout w:type="autofit"/>
        <w:tblCellMar>
          <w:top w:w="0" w:type="dxa"/>
          <w:left w:w="108" w:type="dxa"/>
          <w:bottom w:w="0" w:type="dxa"/>
          <w:right w:w="108" w:type="dxa"/>
        </w:tblCellMar>
      </w:tblPr>
      <w:tblGrid>
        <w:gridCol w:w="982"/>
        <w:gridCol w:w="983"/>
        <w:gridCol w:w="982"/>
        <w:gridCol w:w="983"/>
        <w:gridCol w:w="983"/>
        <w:gridCol w:w="983"/>
        <w:gridCol w:w="982"/>
        <w:gridCol w:w="983"/>
        <w:gridCol w:w="983"/>
      </w:tblGrid>
      <w:tr w14:paraId="39E97ABB">
        <w:tblPrEx>
          <w:tblCellMar>
            <w:top w:w="0" w:type="dxa"/>
            <w:left w:w="108" w:type="dxa"/>
            <w:bottom w:w="0" w:type="dxa"/>
            <w:right w:w="108" w:type="dxa"/>
          </w:tblCellMar>
        </w:tblPrEx>
        <w:tc>
          <w:tcPr>
            <w:tcW w:w="983" w:type="dxa"/>
            <w:gridSpan w:val="9"/>
            <w:vAlign w:val="center"/>
          </w:tcPr>
          <w:p w14:paraId="7E617DC5">
            <w:pPr>
              <w:jc w:val="center"/>
            </w:pPr>
            <w:r>
              <w:rPr>
                <w:rFonts w:ascii="宋体" w:hAnsi="宋体" w:eastAsia="宋体" w:cs="宋体"/>
                <w:sz w:val="24"/>
              </w:rPr>
              <w:t>单位整体支出绩效自评表</w:t>
            </w:r>
          </w:p>
        </w:tc>
      </w:tr>
      <w:tr w14:paraId="1DD3705C">
        <w:tblPrEx>
          <w:tblCellMar>
            <w:top w:w="0" w:type="dxa"/>
            <w:left w:w="108" w:type="dxa"/>
            <w:bottom w:w="0" w:type="dxa"/>
            <w:right w:w="108" w:type="dxa"/>
          </w:tblCellMar>
        </w:tblPrEx>
        <w:tc>
          <w:tcPr>
            <w:tcW w:w="983" w:type="dxa"/>
            <w:gridSpan w:val="9"/>
            <w:vAlign w:val="center"/>
          </w:tcPr>
          <w:p w14:paraId="75F1D3FB">
            <w:pPr>
              <w:jc w:val="center"/>
            </w:pPr>
            <w:r>
              <w:rPr>
                <w:rFonts w:ascii="宋体" w:hAnsi="宋体" w:eastAsia="宋体" w:cs="宋体"/>
                <w:sz w:val="24"/>
              </w:rPr>
              <w:t>（2025年度）</w:t>
            </w:r>
          </w:p>
        </w:tc>
      </w:tr>
      <w:tr w14:paraId="0031827C">
        <w:tblPrEx>
          <w:tblCellMar>
            <w:top w:w="0" w:type="dxa"/>
            <w:left w:w="108" w:type="dxa"/>
            <w:bottom w:w="0" w:type="dxa"/>
            <w:right w:w="108" w:type="dxa"/>
          </w:tblCellMar>
        </w:tblPrEx>
        <w:trPr>
          <w:cantSplit/>
        </w:trPr>
        <w:tc>
          <w:tcPr>
            <w:tcBorders>
              <w:top w:val="single" w:color="auto" w:sz="10" w:space="0"/>
              <w:left w:val="single" w:color="auto" w:sz="10" w:space="0"/>
              <w:bottom w:val="single" w:color="auto" w:sz="10" w:space="0"/>
              <w:right w:val="single" w:color="auto" w:sz="10" w:space="0"/>
              <w:insideV w:val="single" w:sz="10" w:space="0"/>
            </w:tcBorders>
            <w:vAlign w:val="center"/>
          </w:tcPr>
          <w:p w14:paraId="55615D7E">
            <w:pPr>
              <w:jc w:val="center"/>
            </w:pPr>
            <w:r>
              <w:rPr>
                <w:rFonts w:ascii="宋体" w:hAnsi="宋体" w:eastAsia="宋体" w:cs="宋体"/>
                <w:sz w:val="16"/>
              </w:rPr>
              <w:t>单位名称</w:t>
            </w:r>
          </w:p>
        </w:tc>
        <w:tc>
          <w:tcPr>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15CC0407">
            <w:pPr>
              <w:jc w:val="center"/>
            </w:pPr>
            <w:r>
              <w:rPr>
                <w:rFonts w:ascii="宋体" w:hAnsi="宋体" w:eastAsia="宋体" w:cs="宋体"/>
                <w:sz w:val="16"/>
              </w:rPr>
              <w:t>博乐市小营盘中学</w:t>
            </w:r>
          </w:p>
        </w:tc>
      </w:tr>
      <w:tr w14:paraId="19BF61C2">
        <w:tblPrEx>
          <w:tblCellMar>
            <w:top w:w="0" w:type="dxa"/>
            <w:left w:w="108" w:type="dxa"/>
            <w:bottom w:w="0" w:type="dxa"/>
            <w:right w:w="108" w:type="dxa"/>
          </w:tblCellMar>
        </w:tblPrEx>
        <w:trPr>
          <w:cantSpli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C6BC8A7">
            <w:pPr>
              <w:jc w:val="center"/>
            </w:pPr>
            <w:r>
              <w:rPr>
                <w:rFonts w:ascii="宋体" w:hAnsi="宋体" w:eastAsia="宋体" w:cs="宋体"/>
                <w:sz w:val="16"/>
              </w:rPr>
              <w:t>部门资金（万元）</w:t>
            </w:r>
          </w:p>
        </w:tc>
        <w:tc>
          <w:tcPr>
            <w:tcW w:w="98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1BF5023">
            <w:pPr>
              <w:jc w:val="center"/>
            </w:pPr>
            <w:r>
              <w:rPr>
                <w:rFonts w:ascii="宋体" w:hAnsi="宋体" w:eastAsia="宋体" w:cs="宋体"/>
                <w:sz w:val="16"/>
              </w:rPr>
              <w:t>资金来源</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F815C9B">
            <w:pPr>
              <w:jc w:val="center"/>
            </w:pPr>
            <w:r>
              <w:rPr>
                <w:rFonts w:ascii="宋体" w:hAnsi="宋体" w:eastAsia="宋体" w:cs="宋体"/>
                <w:sz w:val="16"/>
              </w:rPr>
              <w:t>年初预算数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E5BB9B6">
            <w:pPr>
              <w:jc w:val="center"/>
            </w:pPr>
            <w:r>
              <w:rPr>
                <w:rFonts w:ascii="宋体" w:hAnsi="宋体" w:eastAsia="宋体" w:cs="宋体"/>
                <w:sz w:val="16"/>
              </w:rPr>
              <w:t>预算数（调整后）</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08BC58F">
            <w:pPr>
              <w:jc w:val="center"/>
            </w:pPr>
            <w:r>
              <w:rPr>
                <w:rFonts w:ascii="宋体" w:hAnsi="宋体" w:eastAsia="宋体" w:cs="宋体"/>
                <w:sz w:val="16"/>
              </w:rPr>
              <w:t>执行数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8634CD3">
            <w:pPr>
              <w:jc w:val="center"/>
            </w:pPr>
            <w:r>
              <w:rPr>
                <w:rFonts w:ascii="宋体" w:hAnsi="宋体" w:eastAsia="宋体" w:cs="宋体"/>
                <w:sz w:val="16"/>
              </w:rPr>
              <w:t>分值权重</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E7A08D8">
            <w:pPr>
              <w:jc w:val="center"/>
            </w:pPr>
            <w:r>
              <w:rPr>
                <w:rFonts w:ascii="宋体" w:hAnsi="宋体" w:eastAsia="宋体" w:cs="宋体"/>
                <w:sz w:val="16"/>
              </w:rPr>
              <w:t>执行率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030D98B">
            <w:pPr>
              <w:jc w:val="center"/>
            </w:pPr>
            <w:r>
              <w:rPr>
                <w:rFonts w:ascii="宋体" w:hAnsi="宋体" w:eastAsia="宋体" w:cs="宋体"/>
                <w:sz w:val="16"/>
              </w:rPr>
              <w:t>得分</w:t>
            </w:r>
          </w:p>
        </w:tc>
      </w:tr>
      <w:tr w14:paraId="6419E238">
        <w:tblPrEx>
          <w:tblCellMar>
            <w:top w:w="0" w:type="dxa"/>
            <w:left w:w="108" w:type="dxa"/>
            <w:bottom w:w="0" w:type="dxa"/>
            <w:right w:w="108" w:type="dxa"/>
          </w:tblCellMar>
        </w:tblPrEx>
        <w:trPr>
          <w:cantSpli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3240FF57"/>
        </w:tc>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7EFC562">
            <w:pPr>
              <w:jc w:val="center"/>
            </w:pPr>
            <w:r>
              <w:rPr>
                <w:rFonts w:ascii="宋体" w:hAnsi="宋体" w:eastAsia="宋体" w:cs="宋体"/>
                <w:sz w:val="16"/>
              </w:rPr>
              <w:t>财政资金（万元）</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D6FAD54">
            <w:pPr>
              <w:jc w:val="center"/>
            </w:pPr>
            <w:r>
              <w:rPr>
                <w:rFonts w:ascii="宋体" w:hAnsi="宋体" w:eastAsia="宋体" w:cs="宋体"/>
                <w:sz w:val="16"/>
              </w:rPr>
              <w:t>上级资金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5E467A2">
            <w:pPr>
              <w:jc w:val="center"/>
            </w:pPr>
            <w:r>
              <w:rPr>
                <w:rFonts w:ascii="宋体" w:hAnsi="宋体" w:eastAsia="宋体" w:cs="宋体"/>
                <w:sz w:val="16"/>
              </w:rPr>
              <w:t>483.71</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A28A52C">
            <w:pPr>
              <w:jc w:val="center"/>
            </w:pPr>
            <w:r>
              <w:rPr>
                <w:rFonts w:ascii="宋体" w:hAnsi="宋体" w:eastAsia="宋体" w:cs="宋体"/>
                <w:sz w:val="16"/>
              </w:rPr>
              <w:t>420.81</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866C592">
            <w:pPr>
              <w:jc w:val="center"/>
            </w:pPr>
            <w:r>
              <w:rPr>
                <w:rFonts w:ascii="宋体" w:hAnsi="宋体" w:eastAsia="宋体" w:cs="宋体"/>
                <w:sz w:val="16"/>
              </w:rPr>
              <w:t>404.17</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8F765AA">
            <w:pPr>
              <w:jc w:val="center"/>
            </w:pPr>
            <w:r>
              <w:rPr>
                <w:rFonts w:ascii="宋体" w:hAnsi="宋体" w:eastAsia="宋体" w:cs="宋体"/>
                <w:sz w:val="16"/>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45A7234">
            <w:pPr>
              <w:jc w:val="center"/>
            </w:pPr>
            <w:r>
              <w:rPr>
                <w:rFonts w:ascii="宋体" w:hAnsi="宋体" w:eastAsia="宋体" w:cs="宋体"/>
                <w:sz w:val="16"/>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8BF2F68">
            <w:pPr>
              <w:jc w:val="center"/>
            </w:pPr>
            <w:r>
              <w:rPr>
                <w:rFonts w:ascii="宋体" w:hAnsi="宋体" w:eastAsia="宋体" w:cs="宋体"/>
                <w:sz w:val="16"/>
              </w:rPr>
              <w:t>-</w:t>
            </w:r>
          </w:p>
        </w:tc>
      </w:tr>
      <w:tr w14:paraId="2DE1FA41">
        <w:tblPrEx>
          <w:tblCellMar>
            <w:top w:w="0" w:type="dxa"/>
            <w:left w:w="108" w:type="dxa"/>
            <w:bottom w:w="0" w:type="dxa"/>
            <w:right w:w="108" w:type="dxa"/>
          </w:tblCellMar>
        </w:tblPrEx>
        <w:trPr>
          <w:cantSpli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4A69E226"/>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1A7BC561"/>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A224CED">
            <w:pPr>
              <w:jc w:val="center"/>
            </w:pPr>
            <w:r>
              <w:rPr>
                <w:rFonts w:ascii="宋体" w:hAnsi="宋体" w:eastAsia="宋体" w:cs="宋体"/>
                <w:sz w:val="16"/>
              </w:rPr>
              <w:t>本级资金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BD5E0CC">
            <w:pPr>
              <w:jc w:val="center"/>
            </w:pPr>
            <w:r>
              <w:rPr>
                <w:rFonts w:ascii="宋体" w:hAnsi="宋体" w:eastAsia="宋体" w:cs="宋体"/>
                <w:sz w:val="16"/>
              </w:rPr>
              <w:t>2,732.41</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7A64588">
            <w:pPr>
              <w:jc w:val="center"/>
            </w:pPr>
            <w:r>
              <w:rPr>
                <w:rFonts w:ascii="宋体" w:hAnsi="宋体" w:eastAsia="宋体" w:cs="宋体"/>
                <w:sz w:val="16"/>
              </w:rPr>
              <w:t>2,889.49</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7F207D4">
            <w:pPr>
              <w:jc w:val="center"/>
            </w:pPr>
            <w:r>
              <w:rPr>
                <w:rFonts w:ascii="宋体" w:hAnsi="宋体" w:eastAsia="宋体" w:cs="宋体"/>
                <w:sz w:val="16"/>
              </w:rPr>
              <w:t>2,894.14</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AD3FDE6">
            <w:pPr>
              <w:jc w:val="center"/>
            </w:pPr>
            <w:r>
              <w:rPr>
                <w:rFonts w:ascii="宋体" w:hAnsi="宋体" w:eastAsia="宋体" w:cs="宋体"/>
                <w:sz w:val="16"/>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3D6A299">
            <w:pPr>
              <w:jc w:val="center"/>
            </w:pPr>
            <w:r>
              <w:rPr>
                <w:rFonts w:ascii="宋体" w:hAnsi="宋体" w:eastAsia="宋体" w:cs="宋体"/>
                <w:sz w:val="16"/>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C33B182">
            <w:pPr>
              <w:jc w:val="center"/>
            </w:pPr>
            <w:r>
              <w:rPr>
                <w:rFonts w:ascii="宋体" w:hAnsi="宋体" w:eastAsia="宋体" w:cs="宋体"/>
                <w:sz w:val="16"/>
              </w:rPr>
              <w:t>-</w:t>
            </w:r>
          </w:p>
        </w:tc>
      </w:tr>
      <w:tr w14:paraId="3C6824DF">
        <w:tblPrEx>
          <w:tblCellMar>
            <w:top w:w="0" w:type="dxa"/>
            <w:left w:w="108" w:type="dxa"/>
            <w:bottom w:w="0" w:type="dxa"/>
            <w:right w:w="108" w:type="dxa"/>
          </w:tblCellMar>
        </w:tblPrEx>
        <w:trPr>
          <w:cantSpli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0C5E4D8E"/>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05CF84CB"/>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A1C95BB">
            <w:pPr>
              <w:jc w:val="center"/>
            </w:pPr>
            <w:r>
              <w:rPr>
                <w:rFonts w:ascii="宋体" w:hAnsi="宋体" w:eastAsia="宋体" w:cs="宋体"/>
                <w:sz w:val="16"/>
              </w:rPr>
              <w:t>其他</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F98F8C1">
            <w:pPr>
              <w:jc w:val="center"/>
            </w:pPr>
            <w:r>
              <w:rPr>
                <w:rFonts w:ascii="宋体" w:hAnsi="宋体" w:eastAsia="宋体" w:cs="宋体"/>
                <w:sz w:val="16"/>
              </w:rPr>
              <w:t>4.35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EBB2ABD">
            <w:pPr>
              <w:jc w:val="center"/>
            </w:pPr>
            <w:r>
              <w:rPr>
                <w:rFonts w:ascii="宋体" w:hAnsi="宋体" w:eastAsia="宋体" w:cs="宋体"/>
                <w:sz w:val="16"/>
              </w:rPr>
              <w:t>4.59</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6E724BD">
            <w:pPr>
              <w:jc w:val="center"/>
            </w:pPr>
            <w:r>
              <w:rPr>
                <w:rFonts w:ascii="宋体" w:hAnsi="宋体" w:eastAsia="宋体" w:cs="宋体"/>
                <w:sz w:val="16"/>
              </w:rPr>
              <w:t>4.59</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696F5ED">
            <w:pPr>
              <w:jc w:val="center"/>
            </w:pPr>
            <w:r>
              <w:rPr>
                <w:rFonts w:ascii="宋体" w:hAnsi="宋体" w:eastAsia="宋体" w:cs="宋体"/>
                <w:sz w:val="16"/>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5CB5D69">
            <w:pPr>
              <w:jc w:val="center"/>
            </w:pPr>
            <w:r>
              <w:rPr>
                <w:rFonts w:ascii="宋体" w:hAnsi="宋体" w:eastAsia="宋体" w:cs="宋体"/>
                <w:sz w:val="16"/>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07B4790">
            <w:pPr>
              <w:jc w:val="center"/>
            </w:pPr>
            <w:r>
              <w:rPr>
                <w:rFonts w:ascii="宋体" w:hAnsi="宋体" w:eastAsia="宋体" w:cs="宋体"/>
                <w:sz w:val="16"/>
              </w:rPr>
              <w:t>-</w:t>
            </w:r>
          </w:p>
        </w:tc>
      </w:tr>
      <w:tr w14:paraId="137FB7D0">
        <w:tblPrEx>
          <w:tblCellMar>
            <w:top w:w="0" w:type="dxa"/>
            <w:left w:w="108" w:type="dxa"/>
            <w:bottom w:w="0" w:type="dxa"/>
            <w:right w:w="108" w:type="dxa"/>
          </w:tblCellMar>
        </w:tblPrEx>
        <w:trPr>
          <w:cantSpli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60D06039"/>
        </w:tc>
        <w:tc>
          <w:tcPr>
            <w:tcW w:w="98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63DB8D5">
            <w:pPr>
              <w:jc w:val="center"/>
            </w:pPr>
            <w:r>
              <w:rPr>
                <w:rFonts w:ascii="宋体" w:hAnsi="宋体" w:eastAsia="宋体" w:cs="宋体"/>
                <w:sz w:val="16"/>
              </w:rPr>
              <w:t>合计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5BDDA2E">
            <w:pPr>
              <w:jc w:val="center"/>
            </w:pPr>
            <w:r>
              <w:rPr>
                <w:rFonts w:ascii="宋体" w:hAnsi="宋体" w:eastAsia="宋体" w:cs="宋体"/>
                <w:sz w:val="16"/>
              </w:rPr>
              <w:t>3,220.47</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BDF798C">
            <w:pPr>
              <w:jc w:val="center"/>
            </w:pPr>
            <w:r>
              <w:rPr>
                <w:rFonts w:ascii="宋体" w:hAnsi="宋体" w:eastAsia="宋体" w:cs="宋体"/>
                <w:sz w:val="16"/>
              </w:rPr>
              <w:t>3,314.89</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8F5278E">
            <w:pPr>
              <w:jc w:val="center"/>
            </w:pPr>
            <w:r>
              <w:rPr>
                <w:rFonts w:ascii="宋体" w:hAnsi="宋体" w:eastAsia="宋体" w:cs="宋体"/>
                <w:sz w:val="16"/>
              </w:rPr>
              <w:t>3,302.90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67F7FF4">
            <w:pPr>
              <w:jc w:val="center"/>
            </w:pPr>
            <w:r>
              <w:rPr>
                <w:rFonts w:ascii="宋体" w:hAnsi="宋体" w:eastAsia="宋体" w:cs="宋体"/>
                <w:sz w:val="16"/>
              </w:rPr>
              <w:t>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47CB947">
            <w:pPr>
              <w:jc w:val="center"/>
            </w:pPr>
            <w:r>
              <w:rPr>
                <w:rFonts w:ascii="宋体" w:hAnsi="宋体" w:eastAsia="宋体" w:cs="宋体"/>
                <w:sz w:val="16"/>
              </w:rPr>
              <w:t>99.64%</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5E44C30">
            <w:pPr>
              <w:jc w:val="center"/>
            </w:pPr>
            <w:r>
              <w:rPr>
                <w:rFonts w:ascii="宋体" w:hAnsi="宋体" w:eastAsia="宋体" w:cs="宋体"/>
                <w:sz w:val="16"/>
              </w:rPr>
              <w:t>9.96</w:t>
            </w:r>
          </w:p>
        </w:tc>
      </w:tr>
      <w:tr w14:paraId="21624EE9">
        <w:tblPrEx>
          <w:tblCellMar>
            <w:top w:w="0" w:type="dxa"/>
            <w:left w:w="108" w:type="dxa"/>
            <w:bottom w:w="0" w:type="dxa"/>
            <w:right w:w="108" w:type="dxa"/>
          </w:tblCellMar>
        </w:tblPrEx>
        <w:trPr>
          <w:cantSpli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95754EC">
            <w:pPr>
              <w:jc w:val="center"/>
            </w:pPr>
            <w:r>
              <w:rPr>
                <w:rFonts w:ascii="宋体" w:hAnsi="宋体" w:eastAsia="宋体" w:cs="宋体"/>
                <w:sz w:val="16"/>
              </w:rPr>
              <w:t>年度总体目标</w:t>
            </w:r>
          </w:p>
        </w:tc>
        <w:tc>
          <w:tcPr>
            <w:tcW w:w="983" w:type="dxa"/>
            <w:gridSpan w:val="3"/>
            <w:tcBorders>
              <w:top w:val="single" w:color="auto" w:sz="10" w:space="0"/>
              <w:left w:val="single" w:color="auto" w:sz="10" w:space="0"/>
              <w:bottom w:val="single" w:color="auto" w:sz="10" w:space="0"/>
              <w:right w:val="single" w:color="auto" w:sz="10" w:space="0"/>
              <w:insideV w:val="single" w:sz="10" w:space="0"/>
            </w:tcBorders>
            <w:vAlign w:val="center"/>
          </w:tcPr>
          <w:p w14:paraId="76F216BA">
            <w:pPr>
              <w:jc w:val="center"/>
            </w:pPr>
            <w:r>
              <w:rPr>
                <w:rFonts w:ascii="宋体" w:hAnsi="宋体" w:eastAsia="宋体" w:cs="宋体"/>
                <w:sz w:val="16"/>
              </w:rPr>
              <w:t>预期目标</w:t>
            </w:r>
          </w:p>
        </w:tc>
        <w:tc>
          <w:tcPr>
            <w:tcW w:w="98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6457773C">
            <w:pPr>
              <w:jc w:val="center"/>
            </w:pPr>
            <w:r>
              <w:rPr>
                <w:rFonts w:ascii="宋体" w:hAnsi="宋体" w:eastAsia="宋体" w:cs="宋体"/>
                <w:sz w:val="16"/>
              </w:rPr>
              <w:t>实际完成情况</w:t>
            </w:r>
          </w:p>
        </w:tc>
      </w:tr>
      <w:tr w14:paraId="7731F1A8">
        <w:tblPrEx>
          <w:tblCellMar>
            <w:top w:w="0" w:type="dxa"/>
            <w:left w:w="108" w:type="dxa"/>
            <w:bottom w:w="0" w:type="dxa"/>
            <w:right w:w="108" w:type="dxa"/>
          </w:tblCellMar>
        </w:tblPrEx>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1DCA5F9C"/>
        </w:tc>
        <w:tc>
          <w:tcPr>
            <w:tcW w:w="983" w:type="dxa"/>
            <w:gridSpan w:val="3"/>
            <w:tcBorders>
              <w:top w:val="single" w:color="auto" w:sz="10" w:space="0"/>
              <w:left w:val="single" w:color="auto" w:sz="10" w:space="0"/>
              <w:bottom w:val="single" w:color="auto" w:sz="10" w:space="0"/>
              <w:right w:val="single" w:color="auto" w:sz="10" w:space="0"/>
              <w:insideV w:val="single" w:sz="10" w:space="0"/>
            </w:tcBorders>
            <w:vAlign w:val="center"/>
          </w:tcPr>
          <w:p w14:paraId="6F851FBB">
            <w:pPr>
              <w:jc w:val="both"/>
            </w:pPr>
            <w:r>
              <w:rPr>
                <w:rFonts w:ascii="宋体" w:hAnsi="宋体" w:eastAsia="宋体" w:cs="宋体"/>
                <w:sz w:val="16"/>
              </w:rPr>
              <w:t>单位基本职能：</w:t>
            </w:r>
            <w:r>
              <w:rPr>
                <w:rFonts w:hint="eastAsia" w:ascii="宋体" w:hAnsi="宋体" w:cs="宋体"/>
                <w:sz w:val="16"/>
                <w:lang w:eastAsia="zh-CN"/>
              </w:rPr>
              <w:t>全面</w:t>
            </w:r>
            <w:r>
              <w:rPr>
                <w:rFonts w:ascii="宋体" w:hAnsi="宋体" w:eastAsia="宋体" w:cs="宋体"/>
                <w:sz w:val="16"/>
              </w:rPr>
              <w:t>加强党对教育工作的全面领导，持续做好15年免费教育，加大“控辍保学”力度，不断优化教师队伍结构，提高国家通用语言文字授课能力和办学质量，推进城乡义务教育优质均衡发展。不断改善办学条件，促进教学质量提质增效。</w:t>
            </w:r>
            <w:r>
              <w:rPr>
                <w:rFonts w:ascii="宋体" w:hAnsi="宋体" w:eastAsia="宋体" w:cs="宋体"/>
                <w:sz w:val="16"/>
              </w:rPr>
              <w:cr/>
            </w:r>
            <w:r>
              <w:rPr>
                <w:rFonts w:ascii="宋体" w:hAnsi="宋体" w:eastAsia="宋体" w:cs="宋体"/>
                <w:sz w:val="16"/>
              </w:rPr>
              <w:t>
机构设置及人员配置：无下属预算单位，下设6个科室，编制数74，实有人数187人，在职141人，退休46人。</w:t>
            </w:r>
            <w:r>
              <w:rPr>
                <w:rFonts w:ascii="宋体" w:hAnsi="宋体" w:eastAsia="宋体" w:cs="宋体"/>
                <w:sz w:val="16"/>
              </w:rPr>
              <w:cr/>
            </w:r>
            <w:r>
              <w:rPr>
                <w:rFonts w:ascii="宋体" w:hAnsi="宋体" w:eastAsia="宋体" w:cs="宋体"/>
                <w:sz w:val="16"/>
              </w:rPr>
              <w:t>
2025年度规划：目标1：保障单位在职141人的工资福利及各项补助正常发放及部门正常运转；</w:t>
            </w:r>
            <w:r>
              <w:rPr>
                <w:rFonts w:ascii="宋体" w:hAnsi="宋体" w:eastAsia="宋体" w:cs="宋体"/>
                <w:sz w:val="16"/>
              </w:rPr>
              <w:cr/>
            </w:r>
            <w:r>
              <w:rPr>
                <w:rFonts w:ascii="宋体" w:hAnsi="宋体" w:eastAsia="宋体" w:cs="宋体"/>
                <w:sz w:val="16"/>
              </w:rPr>
              <w:t>
目标2：学校工作的总体要求和目标可以概括为：围绕一个中心，明晰两条主线，抓实三个基点，突出四个重点，实现五项突破。即学校全局工作围绕提高教育教学质量这一中心，以健全完善“1+6+N”工作机制和精心打造“善正教育文化”校园品牌为主线，抓实学校管理、教师管理、学生管理三个基点，突出抓好党建引领、教学管理、文化建设、德育渗透四个重点工作，努力争取在教学成绩、德育特色、艺体竞赛、教研活动、育人环境五个方面实现新的突破。保障单位预算项目按计划实施，便于开展检查指导学习各级各类学校工作，对全市教师开展培训工作，提高教学能力，为支教教师购买生活物资，提高支教教师幸福感、归属感，积极开展校园文化建设，培养学生身心全面发展。</w:t>
            </w:r>
          </w:p>
        </w:tc>
        <w:tc>
          <w:tcPr>
            <w:tcW w:w="98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5C56541F">
            <w:pPr>
              <w:jc w:val="both"/>
            </w:pPr>
            <w:r>
              <w:rPr>
                <w:rFonts w:ascii="宋体" w:hAnsi="宋体" w:eastAsia="宋体" w:cs="宋体"/>
                <w:sz w:val="16"/>
              </w:rPr>
              <w:t>截至2025年12月31日，本单位实际完成保障在校学生676人，保障在职职工139人，教师每学期听课节数达到20节，校级领导每学期听课节数60节，参加培训</w:t>
            </w:r>
            <w:r>
              <w:rPr>
                <w:rFonts w:hint="eastAsia" w:ascii="宋体" w:hAnsi="宋体" w:cs="宋体"/>
                <w:sz w:val="16"/>
                <w:lang w:eastAsia="zh-CN"/>
              </w:rPr>
              <w:t>教师</w:t>
            </w:r>
            <w:r>
              <w:rPr>
                <w:rFonts w:ascii="宋体" w:hAnsi="宋体" w:eastAsia="宋体" w:cs="宋体"/>
                <w:sz w:val="16"/>
              </w:rPr>
              <w:t>35人，教师培训考核合格率达到100%。实际形成支出3302.9万元，通过完成以上工作，实现了推进城乡义务教育优质均衡发展。不断改善办学条件，促进教学质量提质增效的效益。</w:t>
            </w:r>
          </w:p>
        </w:tc>
      </w:tr>
      <w:tr w14:paraId="0F1309AD">
        <w:tblPrEx>
          <w:tblCellMar>
            <w:top w:w="0" w:type="dxa"/>
            <w:left w:w="108" w:type="dxa"/>
            <w:bottom w:w="0" w:type="dxa"/>
            <w:right w:w="108" w:type="dxa"/>
          </w:tblCellMar>
        </w:tblPrEx>
        <w:trPr>
          <w:cantSplit/>
        </w:trPr>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6736034">
            <w:pPr>
              <w:jc w:val="center"/>
            </w:pPr>
            <w:r>
              <w:rPr>
                <w:rFonts w:ascii="宋体" w:hAnsi="宋体" w:eastAsia="宋体" w:cs="宋体"/>
                <w:sz w:val="16"/>
              </w:rPr>
              <w:t>一级指标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BA5EBA7">
            <w:pPr>
              <w:jc w:val="center"/>
            </w:pPr>
            <w:r>
              <w:rPr>
                <w:rFonts w:ascii="宋体" w:hAnsi="宋体" w:eastAsia="宋体" w:cs="宋体"/>
                <w:sz w:val="16"/>
              </w:rPr>
              <w:t>二级指标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1A8F1C7">
            <w:pPr>
              <w:jc w:val="center"/>
            </w:pPr>
            <w:r>
              <w:rPr>
                <w:rFonts w:ascii="宋体" w:hAnsi="宋体" w:eastAsia="宋体" w:cs="宋体"/>
                <w:sz w:val="16"/>
              </w:rPr>
              <w:t>三级指标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699EF9E">
            <w:pPr>
              <w:jc w:val="center"/>
            </w:pPr>
            <w:r>
              <w:rPr>
                <w:rFonts w:ascii="宋体" w:hAnsi="宋体" w:eastAsia="宋体" w:cs="宋体"/>
                <w:sz w:val="16"/>
              </w:rPr>
              <w:t>预期指标值</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5D5FA02">
            <w:pPr>
              <w:jc w:val="center"/>
            </w:pPr>
            <w:r>
              <w:rPr>
                <w:rFonts w:ascii="宋体" w:hAnsi="宋体" w:eastAsia="宋体" w:cs="宋体"/>
                <w:sz w:val="16"/>
              </w:rPr>
              <w:t>指标值设定依据</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D640617">
            <w:pPr>
              <w:jc w:val="center"/>
            </w:pPr>
            <w:r>
              <w:rPr>
                <w:rFonts w:ascii="宋体" w:hAnsi="宋体" w:eastAsia="宋体" w:cs="宋体"/>
                <w:sz w:val="16"/>
              </w:rPr>
              <w:t>分值权重</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BA69A9C">
            <w:pPr>
              <w:jc w:val="center"/>
            </w:pPr>
            <w:r>
              <w:rPr>
                <w:rFonts w:ascii="宋体" w:hAnsi="宋体" w:eastAsia="宋体" w:cs="宋体"/>
                <w:sz w:val="16"/>
              </w:rPr>
              <w:t>实际完成指标值</w:t>
            </w:r>
          </w:p>
        </w:tc>
        <w:tc>
          <w:tcPr>
            <w:tcW w:w="98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C5744E6">
            <w:pPr>
              <w:jc w:val="center"/>
            </w:pPr>
            <w:r>
              <w:rPr>
                <w:rFonts w:ascii="宋体" w:hAnsi="宋体" w:eastAsia="宋体" w:cs="宋体"/>
                <w:sz w:val="16"/>
              </w:rPr>
              <w:t>得分</w:t>
            </w:r>
          </w:p>
        </w:tc>
      </w:tr>
      <w:tr w14:paraId="6A077B54">
        <w:tblPrEx>
          <w:tblCellMar>
            <w:top w:w="0" w:type="dxa"/>
            <w:left w:w="108" w:type="dxa"/>
            <w:bottom w:w="0" w:type="dxa"/>
            <w:right w:w="108" w:type="dxa"/>
          </w:tblCellMar>
        </w:tblPrEx>
        <w:trPr>
          <w:cantSpli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28D7B13">
            <w:pPr>
              <w:jc w:val="center"/>
            </w:pPr>
            <w:r>
              <w:rPr>
                <w:rFonts w:ascii="宋体" w:hAnsi="宋体" w:eastAsia="宋体" w:cs="宋体"/>
                <w:sz w:val="16"/>
              </w:rPr>
              <w:t>履职效能</w:t>
            </w:r>
          </w:p>
        </w:tc>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A78B0DC">
            <w:pPr>
              <w:jc w:val="center"/>
            </w:pPr>
            <w:r>
              <w:rPr>
                <w:rFonts w:ascii="宋体" w:hAnsi="宋体" w:eastAsia="宋体" w:cs="宋体"/>
                <w:sz w:val="16"/>
              </w:rPr>
              <w:t>数量指标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891F879">
            <w:pPr>
              <w:jc w:val="center"/>
            </w:pPr>
            <w:r>
              <w:rPr>
                <w:rFonts w:ascii="宋体" w:hAnsi="宋体" w:eastAsia="宋体" w:cs="宋体"/>
                <w:sz w:val="16"/>
              </w:rPr>
              <w:t>保障在校学生人数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FBF8625">
            <w:pPr>
              <w:jc w:val="center"/>
            </w:pPr>
            <w:r>
              <w:rPr>
                <w:rFonts w:ascii="宋体" w:hAnsi="宋体" w:eastAsia="宋体" w:cs="宋体"/>
                <w:sz w:val="16"/>
              </w:rPr>
              <w:t>=676人</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2493812">
            <w:pPr>
              <w:jc w:val="center"/>
            </w:pPr>
            <w:r>
              <w:rPr>
                <w:rFonts w:ascii="宋体" w:hAnsi="宋体" w:eastAsia="宋体" w:cs="宋体"/>
                <w:sz w:val="16"/>
              </w:rPr>
              <w:t>《2025年度工作计划》</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6C72F53">
            <w:pPr>
              <w:jc w:val="center"/>
            </w:pPr>
            <w:r>
              <w:rPr>
                <w:rFonts w:ascii="宋体" w:hAnsi="宋体" w:eastAsia="宋体" w:cs="宋体"/>
                <w:sz w:val="16"/>
              </w:rPr>
              <w:t>18</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40369FA">
            <w:pPr>
              <w:jc w:val="center"/>
            </w:pPr>
            <w:r>
              <w:rPr>
                <w:rFonts w:ascii="宋体" w:hAnsi="宋体" w:eastAsia="宋体" w:cs="宋体"/>
                <w:sz w:val="16"/>
              </w:rPr>
              <w:t>676人</w:t>
            </w:r>
          </w:p>
        </w:tc>
        <w:tc>
          <w:tcPr>
            <w:tcW w:w="98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D90C36E">
            <w:pPr>
              <w:jc w:val="center"/>
            </w:pPr>
            <w:r>
              <w:rPr>
                <w:rFonts w:ascii="宋体" w:hAnsi="宋体" w:eastAsia="宋体" w:cs="宋体"/>
                <w:sz w:val="16"/>
              </w:rPr>
              <w:t>18</w:t>
            </w:r>
          </w:p>
        </w:tc>
      </w:tr>
      <w:tr w14:paraId="3C77943B">
        <w:tblPrEx>
          <w:tblCellMar>
            <w:top w:w="0" w:type="dxa"/>
            <w:left w:w="108" w:type="dxa"/>
            <w:bottom w:w="0" w:type="dxa"/>
            <w:right w:w="108" w:type="dxa"/>
          </w:tblCellMar>
        </w:tblPrEx>
        <w:trPr>
          <w:cantSpli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40150D09"/>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7CF45FCE"/>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1BBFED0">
            <w:pPr>
              <w:jc w:val="center"/>
            </w:pPr>
            <w:r>
              <w:rPr>
                <w:rFonts w:ascii="宋体" w:hAnsi="宋体" w:eastAsia="宋体" w:cs="宋体"/>
                <w:sz w:val="16"/>
              </w:rPr>
              <w:t>保障在职职工人数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C745318">
            <w:pPr>
              <w:jc w:val="center"/>
            </w:pPr>
            <w:r>
              <w:rPr>
                <w:rFonts w:ascii="宋体" w:hAnsi="宋体" w:eastAsia="宋体" w:cs="宋体"/>
                <w:sz w:val="16"/>
              </w:rPr>
              <w:t>=141人</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517E62F">
            <w:pPr>
              <w:jc w:val="center"/>
            </w:pPr>
            <w:r>
              <w:rPr>
                <w:rFonts w:ascii="宋体" w:hAnsi="宋体" w:eastAsia="宋体" w:cs="宋体"/>
                <w:sz w:val="16"/>
              </w:rPr>
              <w:t>《2025年度工作计划》</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B1B7ABD">
            <w:pPr>
              <w:jc w:val="center"/>
            </w:pPr>
            <w:r>
              <w:rPr>
                <w:rFonts w:ascii="宋体" w:hAnsi="宋体" w:eastAsia="宋体" w:cs="宋体"/>
                <w:sz w:val="16"/>
              </w:rPr>
              <w:t>18</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1C1BDEB">
            <w:pPr>
              <w:jc w:val="center"/>
            </w:pPr>
            <w:r>
              <w:rPr>
                <w:rFonts w:ascii="宋体" w:hAnsi="宋体" w:eastAsia="宋体" w:cs="宋体"/>
                <w:sz w:val="16"/>
              </w:rPr>
              <w:t>139人</w:t>
            </w:r>
          </w:p>
        </w:tc>
        <w:tc>
          <w:tcPr>
            <w:tcW w:w="98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9F47F66">
            <w:pPr>
              <w:jc w:val="center"/>
            </w:pPr>
            <w:r>
              <w:rPr>
                <w:rFonts w:ascii="宋体" w:hAnsi="宋体" w:eastAsia="宋体" w:cs="宋体"/>
                <w:sz w:val="16"/>
              </w:rPr>
              <w:t>17.74</w:t>
            </w:r>
          </w:p>
        </w:tc>
      </w:tr>
      <w:tr w14:paraId="1EE50E4B">
        <w:tblPrEx>
          <w:tblCellMar>
            <w:top w:w="0" w:type="dxa"/>
            <w:left w:w="108" w:type="dxa"/>
            <w:bottom w:w="0" w:type="dxa"/>
            <w:right w:w="108" w:type="dxa"/>
          </w:tblCellMar>
        </w:tblPrEx>
        <w:trPr>
          <w:cantSpli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02A74F4B"/>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5214DF59"/>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62164FB">
            <w:pPr>
              <w:jc w:val="center"/>
            </w:pPr>
            <w:r>
              <w:rPr>
                <w:rFonts w:ascii="宋体" w:hAnsi="宋体" w:eastAsia="宋体" w:cs="宋体"/>
                <w:sz w:val="16"/>
              </w:rPr>
              <w:t>教师听课节数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6D35A0D">
            <w:pPr>
              <w:jc w:val="center"/>
            </w:pPr>
            <w:r>
              <w:rPr>
                <w:rFonts w:ascii="宋体" w:hAnsi="宋体" w:eastAsia="宋体" w:cs="宋体"/>
                <w:sz w:val="16"/>
              </w:rPr>
              <w:t>&gt;=20节/学期</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407A0B9">
            <w:pPr>
              <w:jc w:val="center"/>
            </w:pPr>
            <w:r>
              <w:rPr>
                <w:rFonts w:ascii="宋体" w:hAnsi="宋体" w:eastAsia="宋体" w:cs="宋体"/>
                <w:sz w:val="16"/>
              </w:rPr>
              <w:t>《2025年度工作计划》</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EA38088">
            <w:pPr>
              <w:jc w:val="center"/>
            </w:pPr>
            <w:r>
              <w:rPr>
                <w:rFonts w:ascii="宋体" w:hAnsi="宋体" w:eastAsia="宋体" w:cs="宋体"/>
                <w:sz w:val="16"/>
              </w:rPr>
              <w:t>18</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C19A2F2">
            <w:pPr>
              <w:jc w:val="center"/>
            </w:pPr>
            <w:r>
              <w:rPr>
                <w:rFonts w:ascii="宋体" w:hAnsi="宋体" w:eastAsia="宋体" w:cs="宋体"/>
                <w:sz w:val="16"/>
              </w:rPr>
              <w:t>20节/学期</w:t>
            </w:r>
          </w:p>
        </w:tc>
        <w:tc>
          <w:tcPr>
            <w:tcW w:w="98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C04DD7B">
            <w:pPr>
              <w:jc w:val="center"/>
            </w:pPr>
            <w:r>
              <w:rPr>
                <w:rFonts w:ascii="宋体" w:hAnsi="宋体" w:eastAsia="宋体" w:cs="宋体"/>
                <w:sz w:val="16"/>
              </w:rPr>
              <w:t>18</w:t>
            </w:r>
          </w:p>
        </w:tc>
      </w:tr>
      <w:tr w14:paraId="2BA4CD1A">
        <w:tblPrEx>
          <w:tblCellMar>
            <w:top w:w="0" w:type="dxa"/>
            <w:left w:w="108" w:type="dxa"/>
            <w:bottom w:w="0" w:type="dxa"/>
            <w:right w:w="108" w:type="dxa"/>
          </w:tblCellMar>
        </w:tblPrEx>
        <w:trPr>
          <w:cantSpli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5EF335F8"/>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4A27A4F1"/>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19E81FA">
            <w:pPr>
              <w:jc w:val="center"/>
            </w:pPr>
            <w:r>
              <w:rPr>
                <w:rFonts w:ascii="宋体" w:hAnsi="宋体" w:eastAsia="宋体" w:cs="宋体"/>
                <w:sz w:val="16"/>
              </w:rPr>
              <w:t>校级领导听课节数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103440C">
            <w:pPr>
              <w:jc w:val="center"/>
            </w:pPr>
            <w:r>
              <w:rPr>
                <w:rFonts w:ascii="宋体" w:hAnsi="宋体" w:eastAsia="宋体" w:cs="宋体"/>
                <w:sz w:val="16"/>
              </w:rPr>
              <w:t>&gt;=60节/学期</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1717261">
            <w:pPr>
              <w:jc w:val="center"/>
            </w:pPr>
            <w:r>
              <w:rPr>
                <w:rFonts w:ascii="宋体" w:hAnsi="宋体" w:eastAsia="宋体" w:cs="宋体"/>
                <w:sz w:val="16"/>
              </w:rPr>
              <w:t>《2025年度工作计划》</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66D331D">
            <w:pPr>
              <w:jc w:val="center"/>
            </w:pPr>
            <w:r>
              <w:rPr>
                <w:rFonts w:ascii="宋体" w:hAnsi="宋体" w:eastAsia="宋体" w:cs="宋体"/>
                <w:sz w:val="16"/>
              </w:rPr>
              <w:t>18</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57B24D3">
            <w:pPr>
              <w:jc w:val="center"/>
            </w:pPr>
            <w:r>
              <w:rPr>
                <w:rFonts w:ascii="宋体" w:hAnsi="宋体" w:eastAsia="宋体" w:cs="宋体"/>
                <w:sz w:val="16"/>
              </w:rPr>
              <w:t>60节/学</w:t>
            </w:r>
          </w:p>
        </w:tc>
        <w:tc>
          <w:tcPr>
            <w:tcW w:w="98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E71B637">
            <w:pPr>
              <w:jc w:val="center"/>
            </w:pPr>
            <w:r>
              <w:rPr>
                <w:rFonts w:ascii="宋体" w:hAnsi="宋体" w:eastAsia="宋体" w:cs="宋体"/>
                <w:sz w:val="16"/>
              </w:rPr>
              <w:t>18</w:t>
            </w:r>
          </w:p>
        </w:tc>
      </w:tr>
      <w:tr w14:paraId="3B55FD2A">
        <w:tblPrEx>
          <w:tblCellMar>
            <w:top w:w="0" w:type="dxa"/>
            <w:left w:w="108" w:type="dxa"/>
            <w:bottom w:w="0" w:type="dxa"/>
            <w:right w:w="108" w:type="dxa"/>
          </w:tblCellMar>
        </w:tblPrEx>
        <w:trPr>
          <w:cantSpli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69A70F46"/>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1E792E9F"/>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1A634E0">
            <w:pPr>
              <w:jc w:val="center"/>
            </w:pPr>
            <w:r>
              <w:rPr>
                <w:rFonts w:ascii="宋体" w:hAnsi="宋体" w:eastAsia="宋体" w:cs="宋体"/>
                <w:sz w:val="16"/>
              </w:rPr>
              <w:t>参加培训教师人数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62BF554">
            <w:pPr>
              <w:jc w:val="center"/>
            </w:pPr>
            <w:r>
              <w:rPr>
                <w:rFonts w:ascii="宋体" w:hAnsi="宋体" w:eastAsia="宋体" w:cs="宋体"/>
                <w:sz w:val="16"/>
              </w:rPr>
              <w:t>&gt;=25人</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417136F">
            <w:pPr>
              <w:jc w:val="center"/>
            </w:pPr>
            <w:r>
              <w:rPr>
                <w:rFonts w:ascii="宋体" w:hAnsi="宋体" w:eastAsia="宋体" w:cs="宋体"/>
                <w:sz w:val="16"/>
              </w:rPr>
              <w:t>《2025年度工作计划》</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E02B326">
            <w:pPr>
              <w:jc w:val="center"/>
            </w:pPr>
            <w:r>
              <w:rPr>
                <w:rFonts w:ascii="宋体" w:hAnsi="宋体" w:eastAsia="宋体" w:cs="宋体"/>
                <w:sz w:val="16"/>
              </w:rPr>
              <w:t>18</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1B8C04B">
            <w:pPr>
              <w:jc w:val="center"/>
            </w:pPr>
            <w:r>
              <w:rPr>
                <w:rFonts w:ascii="宋体" w:hAnsi="宋体" w:eastAsia="宋体" w:cs="宋体"/>
                <w:sz w:val="16"/>
              </w:rPr>
              <w:t>35人</w:t>
            </w:r>
          </w:p>
        </w:tc>
        <w:tc>
          <w:tcPr>
            <w:tcW w:w="98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CAFE46C">
            <w:pPr>
              <w:jc w:val="center"/>
            </w:pPr>
            <w:r>
              <w:rPr>
                <w:rFonts w:ascii="宋体" w:hAnsi="宋体" w:eastAsia="宋体" w:cs="宋体"/>
                <w:sz w:val="16"/>
              </w:rPr>
              <w:t>18</w:t>
            </w:r>
          </w:p>
        </w:tc>
      </w:tr>
      <w:tr w14:paraId="7A5CA5A0">
        <w:tblPrEx>
          <w:tblCellMar>
            <w:top w:w="0" w:type="dxa"/>
            <w:left w:w="108" w:type="dxa"/>
            <w:bottom w:w="0" w:type="dxa"/>
            <w:right w:w="108" w:type="dxa"/>
          </w:tblCellMar>
        </w:tblPrEx>
        <w:trPr>
          <w:cantSplit/>
        </w:trPr>
        <w:tc>
          <w:tcPr>
            <w:tcW w:w="98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41A00451">
            <w:pPr>
              <w:jc w:val="center"/>
            </w:pPr>
            <w:r>
              <w:rPr>
                <w:rFonts w:ascii="宋体" w:hAnsi="宋体" w:eastAsia="宋体" w:cs="宋体"/>
                <w:sz w:val="16"/>
              </w:rPr>
              <w:t>总分</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8B9BA66">
            <w:pPr>
              <w:jc w:val="center"/>
            </w:pPr>
            <w:r>
              <w:rPr>
                <w:rFonts w:ascii="宋体" w:hAnsi="宋体" w:eastAsia="宋体" w:cs="宋体"/>
                <w:sz w:val="16"/>
              </w:rPr>
              <w:t>100</w:t>
            </w:r>
          </w:p>
        </w:tc>
        <w:tc>
          <w:tcPr>
            <w:tcW w:w="983" w:type="dxa"/>
            <w:tcBorders>
              <w:top w:val="single" w:color="auto" w:sz="10" w:space="0"/>
              <w:left w:val="single" w:color="auto" w:sz="10" w:space="0"/>
              <w:bottom w:val="single" w:color="auto" w:sz="10" w:space="0"/>
              <w:right w:val="single" w:color="auto" w:sz="10" w:space="0"/>
              <w:insideV w:val="single" w:sz="10" w:space="0"/>
            </w:tcBorders>
          </w:tcPr>
          <w:p w14:paraId="39C6A651"/>
        </w:tc>
        <w:tc>
          <w:tcPr>
            <w:tcW w:w="98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F919306">
            <w:pPr>
              <w:jc w:val="center"/>
            </w:pPr>
            <w:r>
              <w:rPr>
                <w:rFonts w:ascii="宋体" w:hAnsi="宋体" w:eastAsia="宋体" w:cs="宋体"/>
                <w:sz w:val="16"/>
              </w:rPr>
              <w:t>99.7</w:t>
            </w:r>
          </w:p>
        </w:tc>
      </w:tr>
    </w:tbl>
    <w:p w14:paraId="5EE9BCEE">
      <w:r>
        <w:br w:type="page"/>
      </w:r>
    </w:p>
    <w:p w14:paraId="51CB9A53">
      <w:pPr>
        <w:spacing w:line="640" w:lineRule="exact"/>
        <w:ind w:firstLine="640"/>
        <w:jc w:val="both"/>
        <w:outlineLvl w:val="2"/>
      </w:pPr>
      <w:r>
        <w:rPr>
          <w:rFonts w:ascii="黑体" w:hAnsi="黑体" w:eastAsia="黑体"/>
          <w:sz w:val="32"/>
        </w:rPr>
        <w:t>十二、其他需说明的事项</w:t>
      </w:r>
    </w:p>
    <w:p w14:paraId="5393D4F5">
      <w:pPr>
        <w:spacing w:line="580" w:lineRule="exact"/>
        <w:ind w:firstLine="640"/>
        <w:jc w:val="both"/>
      </w:pPr>
      <w:r>
        <w:rPr>
          <w:rFonts w:ascii="仿宋_GB2312" w:hAnsi="仿宋_GB2312" w:eastAsia="仿宋_GB2312"/>
          <w:b w:val="0"/>
          <w:sz w:val="32"/>
        </w:rPr>
        <w:t>本单位无其他需说明的事项。</w:t>
      </w:r>
    </w:p>
    <w:p w14:paraId="2C6C83F8">
      <w:r>
        <w:br w:type="page"/>
      </w:r>
    </w:p>
    <w:p w14:paraId="6C4181BD">
      <w:pPr>
        <w:spacing w:line="600" w:lineRule="exact"/>
        <w:jc w:val="center"/>
        <w:outlineLvl w:val="0"/>
      </w:pPr>
      <w:r>
        <w:rPr>
          <w:rFonts w:ascii="黑体" w:hAnsi="黑体" w:eastAsia="黑体"/>
          <w:sz w:val="32"/>
        </w:rPr>
        <w:t>第三部分 专业名词解释</w:t>
      </w:r>
    </w:p>
    <w:p w14:paraId="134C9025">
      <w:pPr>
        <w:autoSpaceDE w:val="0"/>
        <w:autoSpaceDN w:val="0"/>
        <w:spacing w:line="600" w:lineRule="exact"/>
        <w:ind w:firstLine="643" w:firstLineChars="20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14:paraId="39C80589">
      <w:pPr>
        <w:autoSpaceDE w:val="0"/>
        <w:autoSpaceDN w:val="0"/>
        <w:spacing w:line="600" w:lineRule="exact"/>
        <w:ind w:firstLine="643" w:firstLineChars="20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14:paraId="6924F386">
      <w:pPr>
        <w:autoSpaceDE w:val="0"/>
        <w:autoSpaceDN w:val="0"/>
        <w:spacing w:line="600" w:lineRule="exact"/>
        <w:ind w:firstLine="643" w:firstLineChars="20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14:paraId="57674943">
      <w:pPr>
        <w:autoSpaceDE w:val="0"/>
        <w:autoSpaceDN w:val="0"/>
        <w:spacing w:line="600" w:lineRule="exact"/>
        <w:ind w:firstLine="643" w:firstLineChars="20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14:paraId="37497FF8">
      <w:pPr>
        <w:autoSpaceDE w:val="0"/>
        <w:autoSpaceDN w:val="0"/>
        <w:spacing w:line="600" w:lineRule="exact"/>
        <w:ind w:firstLine="643" w:firstLineChars="20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14:paraId="7A4E44C2">
      <w:pPr>
        <w:autoSpaceDE w:val="0"/>
        <w:autoSpaceDN w:val="0"/>
        <w:spacing w:line="600" w:lineRule="exact"/>
        <w:ind w:firstLine="643" w:firstLineChars="20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14:paraId="2F1F43AC">
      <w:pPr>
        <w:autoSpaceDE w:val="0"/>
        <w:autoSpaceDN w:val="0"/>
        <w:spacing w:line="600" w:lineRule="exact"/>
        <w:ind w:firstLine="643" w:firstLineChars="20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14:paraId="726904EF">
      <w:pPr>
        <w:autoSpaceDE w:val="0"/>
        <w:autoSpaceDN w:val="0"/>
        <w:spacing w:line="600" w:lineRule="exact"/>
        <w:ind w:firstLine="643" w:firstLineChars="20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14:paraId="61B22930">
      <w:pPr>
        <w:autoSpaceDE w:val="0"/>
        <w:autoSpaceDN w:val="0"/>
        <w:spacing w:line="600" w:lineRule="exact"/>
        <w:ind w:firstLine="643" w:firstLineChars="20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14:paraId="42862BDB">
      <w:pPr>
        <w:autoSpaceDE w:val="0"/>
        <w:autoSpaceDN w:val="0"/>
        <w:spacing w:line="600" w:lineRule="exact"/>
        <w:ind w:firstLine="643" w:firstLineChars="20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14:paraId="06FCCD48">
      <w:pPr>
        <w:autoSpaceDE w:val="0"/>
        <w:autoSpaceDN w:val="0"/>
        <w:spacing w:line="600" w:lineRule="exact"/>
        <w:ind w:firstLine="643" w:firstLineChars="20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14:paraId="7F2082F8">
      <w:pPr>
        <w:autoSpaceDE w:val="0"/>
        <w:autoSpaceDN w:val="0"/>
        <w:spacing w:line="600" w:lineRule="exact"/>
        <w:ind w:firstLine="643" w:firstLineChars="20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14:paraId="7178FE91">
      <w:pPr>
        <w:autoSpaceDE w:val="0"/>
        <w:autoSpaceDN w:val="0"/>
        <w:spacing w:line="600" w:lineRule="exact"/>
        <w:ind w:firstLine="643" w:firstLineChars="20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14:paraId="1EC7C92F">
      <w:pPr>
        <w:autoSpaceDE w:val="0"/>
        <w:autoSpaceDN w:val="0"/>
        <w:spacing w:line="600" w:lineRule="exact"/>
        <w:ind w:firstLine="643" w:firstLineChars="20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14:paraId="04C8F54E">
      <w:pPr>
        <w:autoSpaceDE w:val="0"/>
        <w:autoSpaceDN w:val="0"/>
        <w:spacing w:line="600" w:lineRule="exact"/>
        <w:ind w:firstLine="643" w:firstLineChars="20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14:paraId="0F931C97">
      <w:pPr>
        <w:autoSpaceDE w:val="0"/>
        <w:autoSpaceDN w:val="0"/>
        <w:spacing w:line="600" w:lineRule="exact"/>
        <w:ind w:firstLine="643" w:firstLineChars="20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14:paraId="2280101C">
      <w:pPr>
        <w:autoSpaceDE w:val="0"/>
        <w:autoSpaceDN w:val="0"/>
        <w:spacing w:line="600" w:lineRule="exact"/>
        <w:ind w:firstLine="643" w:firstLineChars="20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14:paraId="1BAB030F">
      <w:r>
        <w:br w:type="page"/>
      </w:r>
    </w:p>
    <w:p w14:paraId="7231FAF6">
      <w:pPr>
        <w:spacing w:line="240" w:lineRule="auto"/>
        <w:jc w:val="center"/>
        <w:outlineLvl w:val="1"/>
      </w:pPr>
      <w:r>
        <w:rPr>
          <w:rFonts w:ascii="黑体" w:hAnsi="黑体" w:eastAsia="黑体"/>
          <w:sz w:val="32"/>
        </w:rPr>
        <w:t>第四部分 部门决算报表（见附表）</w:t>
      </w:r>
    </w:p>
    <w:p w14:paraId="26808704">
      <w:pPr>
        <w:autoSpaceDE w:val="0"/>
        <w:autoSpaceDN w:val="0"/>
        <w:spacing w:line="600" w:lineRule="exact"/>
        <w:ind w:firstLine="640" w:firstLineChars="200"/>
      </w:pPr>
      <w:r>
        <w:rPr>
          <w:rFonts w:ascii="仿宋_GB2312" w:hAnsi="仿宋_GB2312" w:eastAsia="仿宋_GB2312"/>
          <w:b w:val="0"/>
          <w:sz w:val="32"/>
        </w:rPr>
        <w:t>一、《收入支出决算总表》</w:t>
      </w:r>
    </w:p>
    <w:p w14:paraId="27FB9AF7">
      <w:pPr>
        <w:autoSpaceDE w:val="0"/>
        <w:autoSpaceDN w:val="0"/>
        <w:spacing w:line="600" w:lineRule="exact"/>
        <w:ind w:firstLine="640" w:firstLineChars="200"/>
      </w:pPr>
      <w:r>
        <w:rPr>
          <w:rFonts w:ascii="仿宋_GB2312" w:hAnsi="仿宋_GB2312" w:eastAsia="仿宋_GB2312"/>
          <w:b w:val="0"/>
          <w:sz w:val="32"/>
        </w:rPr>
        <w:t>二、《收入决算表》</w:t>
      </w:r>
    </w:p>
    <w:p w14:paraId="7048AE7C">
      <w:pPr>
        <w:autoSpaceDE w:val="0"/>
        <w:autoSpaceDN w:val="0"/>
        <w:spacing w:line="600" w:lineRule="exact"/>
        <w:ind w:firstLine="640" w:firstLineChars="200"/>
      </w:pPr>
      <w:r>
        <w:rPr>
          <w:rFonts w:ascii="仿宋_GB2312" w:hAnsi="仿宋_GB2312" w:eastAsia="仿宋_GB2312"/>
          <w:b w:val="0"/>
          <w:sz w:val="32"/>
        </w:rPr>
        <w:t>三、《支出决算表》</w:t>
      </w:r>
    </w:p>
    <w:p w14:paraId="27FAC0FF">
      <w:pPr>
        <w:autoSpaceDE w:val="0"/>
        <w:autoSpaceDN w:val="0"/>
        <w:spacing w:line="600" w:lineRule="exact"/>
        <w:ind w:firstLine="640" w:firstLineChars="200"/>
      </w:pPr>
      <w:r>
        <w:rPr>
          <w:rFonts w:ascii="仿宋_GB2312" w:hAnsi="仿宋_GB2312" w:eastAsia="仿宋_GB2312"/>
          <w:b w:val="0"/>
          <w:sz w:val="32"/>
        </w:rPr>
        <w:t>四、《财政拨款收入支出决算总表》</w:t>
      </w:r>
    </w:p>
    <w:p w14:paraId="19C66C19">
      <w:pPr>
        <w:autoSpaceDE w:val="0"/>
        <w:autoSpaceDN w:val="0"/>
        <w:spacing w:line="600" w:lineRule="exact"/>
        <w:ind w:firstLine="640" w:firstLineChars="200"/>
      </w:pPr>
      <w:r>
        <w:rPr>
          <w:rFonts w:ascii="仿宋_GB2312" w:hAnsi="仿宋_GB2312" w:eastAsia="仿宋_GB2312"/>
          <w:b w:val="0"/>
          <w:sz w:val="32"/>
        </w:rPr>
        <w:t>五、《一般公共预算财政拨款支出决算表》</w:t>
      </w:r>
    </w:p>
    <w:p w14:paraId="1A31EB80">
      <w:pPr>
        <w:autoSpaceDE w:val="0"/>
        <w:autoSpaceDN w:val="0"/>
        <w:spacing w:line="600" w:lineRule="exact"/>
        <w:ind w:firstLine="640" w:firstLineChars="200"/>
      </w:pPr>
      <w:r>
        <w:rPr>
          <w:rFonts w:ascii="仿宋_GB2312" w:hAnsi="仿宋_GB2312" w:eastAsia="仿宋_GB2312"/>
          <w:b w:val="0"/>
          <w:sz w:val="32"/>
        </w:rPr>
        <w:t>六、《一般公共预算财政拨款基本支出决算表》</w:t>
      </w:r>
    </w:p>
    <w:p w14:paraId="1C8AE568">
      <w:pPr>
        <w:autoSpaceDE w:val="0"/>
        <w:autoSpaceDN w:val="0"/>
        <w:spacing w:line="600" w:lineRule="exact"/>
        <w:ind w:firstLine="640" w:firstLineChars="200"/>
      </w:pPr>
      <w:r>
        <w:rPr>
          <w:rFonts w:ascii="仿宋_GB2312" w:hAnsi="仿宋_GB2312" w:eastAsia="仿宋_GB2312"/>
          <w:b w:val="0"/>
          <w:sz w:val="32"/>
        </w:rPr>
        <w:t>七、《政府性基金预算财政拨款收入支出决算表》</w:t>
      </w:r>
    </w:p>
    <w:p w14:paraId="5A6305DF">
      <w:pPr>
        <w:autoSpaceDE w:val="0"/>
        <w:autoSpaceDN w:val="0"/>
        <w:spacing w:line="600" w:lineRule="exact"/>
        <w:ind w:firstLine="640" w:firstLineChars="200"/>
      </w:pPr>
      <w:r>
        <w:rPr>
          <w:rFonts w:ascii="仿宋_GB2312" w:hAnsi="仿宋_GB2312" w:eastAsia="仿宋_GB2312"/>
          <w:b w:val="0"/>
          <w:sz w:val="32"/>
        </w:rPr>
        <w:t>八、《国有资本经营预算财政拨款收入支出决算表》</w:t>
      </w:r>
    </w:p>
    <w:p w14:paraId="24FE790B">
      <w:pPr>
        <w:autoSpaceDE w:val="0"/>
        <w:autoSpaceDN w:val="0"/>
        <w:spacing w:line="600" w:lineRule="exact"/>
        <w:ind w:firstLine="640" w:firstLineChars="200"/>
      </w:pPr>
      <w:r>
        <w:rPr>
          <w:rFonts w:ascii="仿宋_GB2312" w:hAnsi="仿宋_GB2312" w:eastAsia="仿宋_GB2312"/>
          <w:b w:val="0"/>
          <w:sz w:val="32"/>
        </w:rPr>
        <w:t>九、《财政拨款“三公”经费支出决算表》</w:t>
      </w:r>
    </w:p>
    <w:p w14:paraId="4C789AE4">
      <w:pPr>
        <w:autoSpaceDE w:val="0"/>
        <w:autoSpaceDN w:val="0"/>
        <w:spacing w:line="600" w:lineRule="exact"/>
        <w:ind w:firstLine="640" w:firstLineChars="200"/>
      </w:pPr>
    </w:p>
    <w:p w14:paraId="7D6403E0">
      <w:pPr>
        <w:autoSpaceDE w:val="0"/>
        <w:autoSpaceDN w:val="0"/>
        <w:spacing w:line="600" w:lineRule="exact"/>
        <w:ind w:firstLine="640" w:firstLineChars="200"/>
      </w:pPr>
    </w:p>
    <w:p w14:paraId="61D3580B">
      <w:pPr>
        <w:autoSpaceDE w:val="0"/>
        <w:autoSpaceDN w:val="0"/>
        <w:spacing w:line="600" w:lineRule="exact"/>
        <w:ind w:firstLine="640" w:firstLineChars="200"/>
      </w:pPr>
    </w:p>
    <w:p w14:paraId="5BA50981">
      <w:pPr>
        <w:autoSpaceDE w:val="0"/>
        <w:autoSpaceDN w:val="0"/>
        <w:spacing w:line="600" w:lineRule="exact"/>
        <w:ind w:firstLine="640" w:firstLineChars="200"/>
      </w:pPr>
    </w:p>
    <w:p w14:paraId="79DC93FF">
      <w:pPr>
        <w:autoSpaceDE w:val="0"/>
        <w:autoSpaceDN w:val="0"/>
        <w:spacing w:line="600" w:lineRule="exact"/>
        <w:ind w:firstLine="640" w:firstLineChars="200"/>
      </w:pPr>
    </w:p>
    <w:sectPr>
      <w:footerReference r:id="rId3" w:type="default"/>
      <w:pgSz w:w="11906" w:h="16838"/>
      <w:pgMar w:top="2098" w:right="1531" w:bottom="1985" w:left="153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42FA913-9E7B-495D-B6A6-96C2797F2D3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0000000000000000000"/>
    <w:charset w:val="86"/>
    <w:family w:val="script"/>
    <w:pitch w:val="default"/>
    <w:sig w:usb0="00000000" w:usb1="00000000" w:usb2="00082016" w:usb3="00000000" w:csb0="00040001" w:csb1="00000000"/>
    <w:embedRegular r:id="rId2" w:fontKey="{B6FFD902-1178-4A22-819E-01A6BE4334EA}"/>
  </w:font>
  <w:font w:name="微软雅黑">
    <w:panose1 w:val="020B0503020204020204"/>
    <w:charset w:val="86"/>
    <w:family w:val="auto"/>
    <w:pitch w:val="default"/>
    <w:sig w:usb0="80000287" w:usb1="2ACF3C50" w:usb2="00000016" w:usb3="00000000" w:csb0="0004001F" w:csb1="00000000"/>
  </w:font>
  <w:font w:name="仿宋_GB2312">
    <w:panose1 w:val="02010609030101010101"/>
    <w:charset w:val="86"/>
    <w:family w:val="modern"/>
    <w:pitch w:val="default"/>
    <w:sig w:usb0="00000001" w:usb1="080E0000" w:usb2="00000000" w:usb3="00000000" w:csb0="00040000" w:csb1="00000000"/>
    <w:embedRegular r:id="rId3" w:fontKey="{A650D110-2A69-4FA2-B627-8675D18A47C4}"/>
  </w:font>
  <w:font w:name="楷体_GB2312">
    <w:panose1 w:val="02010609030101010101"/>
    <w:charset w:val="86"/>
    <w:family w:val="auto"/>
    <w:pitch w:val="default"/>
    <w:sig w:usb0="00000001" w:usb1="080E0000" w:usb2="00000000" w:usb3="00000000" w:csb0="00040000" w:csb1="00000000"/>
    <w:embedRegular r:id="rId4" w:fontKey="{153C9E82-59C8-421B-8223-C35288103C32}"/>
  </w:font>
  <w:font w:name="KSOF8080F95D">
    <w:panose1 w:val="020B0503020204020204"/>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7"/>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1035E56"/>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9325B2"/>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3.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ontractReview xmlns="http://schemas.wps.cn/vas-ai-hub/contract-review">
  <reviewItems>
    <reviewItem>
      <errorID>a413b4bd-2bc8-4d71-bb89-a95f77488184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AA8C33C</paraID>
      <start>0</start>
      <end>2</end>
      <status>unmodified</status>
      <modifiedWord/>
      <trackRevisions>false</trackRevisions>
    </reviewItem>
    <reviewItem>
      <errorID>70db2d11-0b1d-45fd-8558-5c7102cc2832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1C226D1</paraID>
      <start>0</start>
      <end>2</end>
      <status>unmodified</status>
      <modifiedWord/>
      <trackRevisions>false</trackRevisions>
    </reviewItem>
    <reviewItem>
      <errorID>f85fe432-7d98-4515-a9e4-743cb73cb7b3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2B67AF4</paraID>
      <start>0</start>
      <end>2</end>
      <status>unmodified</status>
      <modifiedWord/>
      <trackRevisions>false</trackRevisions>
    </reviewItem>
    <reviewItem>
      <errorID>e905890c-bc84-46d1-8bd5-acd206de7705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1F5B5D25</paraID>
      <start>0</start>
      <end>2</end>
      <status>unmodified</status>
      <modifiedWord/>
      <trackRevisions>false</trackRevisions>
    </reviewItem>
    <reviewItem>
      <errorID>dbd3efd2-7c5f-4513-84ee-21df475f4073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66397CBB</paraID>
      <start>0</start>
      <end>2</end>
      <status>unmodified</status>
      <modifiedWord/>
      <trackRevisions>false</trackRevisions>
    </reviewItem>
    <reviewItem>
      <errorID>2d8f651a-9d4c-4506-b5f6-3ee0d3bbd439</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38023D85</paraID>
      <start>0</start>
      <end>2</end>
      <status>unmodified</status>
      <modifiedWord/>
      <trackRevisions>false</trackRevisions>
    </reviewItem>
    <reviewItem>
      <errorID>de58cb80-b2bc-4ed4-85b3-6f17fdf715a5</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EFE9151</paraID>
      <start>0</start>
      <end>2</end>
      <status>unmodified</status>
      <modifiedWord/>
      <trackRevisions>false</trackRevisions>
    </reviewItem>
    <reviewItem>
      <errorID>5266b453-e817-4ce8-92c7-4c40baeb78ed</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60E399A1</paraID>
      <start>0</start>
      <end>2</end>
      <status>unmodified</status>
      <modifiedWord/>
      <trackRevisions>false</trackRevisions>
    </reviewItem>
    <reviewItem>
      <errorID>8139fcf8-b89b-40a8-ada6-ed14db31ce28</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38A37E38</paraID>
      <start>0</start>
      <end>2</end>
      <status>unmodified</status>
      <modifiedWord/>
      <trackRevisions>false</trackRevisions>
    </reviewItem>
    <reviewItem>
      <errorID>deba326d-9904-4c6f-bab5-c8a40d333c22</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6337F5B</paraID>
      <start>0</start>
      <end>3</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customXml/itemProps3.xml><?xml version="1.0" encoding="utf-8"?>
<ds:datastoreItem xmlns:ds="http://schemas.openxmlformats.org/officeDocument/2006/customXml" ds:itemID="{3c5ba6a2-feb9-4f94-8571-952ec268bb25}">
  <ds:schemaRefs/>
</ds:datastoreItem>
</file>

<file path=docProps/app.xml><?xml version="1.0" encoding="utf-8"?>
<Properties xmlns="http://schemas.openxmlformats.org/officeDocument/2006/extended-properties" xmlns:vt="http://schemas.openxmlformats.org/officeDocument/2006/docPropsVTypes">
  <Template>Normal.dotm</Template>
  <Pages>20</Pages>
  <Words>4864</Words>
  <Characters>5465</Characters>
  <Lines>10</Lines>
  <Paragraphs>2</Paragraphs>
  <TotalTime>12</TotalTime>
  <ScaleCrop>false</ScaleCrop>
  <LinksUpToDate>false</LinksUpToDate>
  <CharactersWithSpaces>5473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蹁跹</cp:lastModifiedBy>
  <cp:lastPrinted>2024-07-22T11:58:00Z</cp:lastPrinted>
  <dcterms:modified xsi:type="dcterms:W3CDTF">2026-09-21T09:38:29Z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8FDA567F26D84A8C8A1B02E29FDE1AE6_13</vt:lpwstr>
  </property>
  <property fmtid="{D5CDD505-2E9C-101B-9397-08002B2CF9AE}" pid="4" name="KSOTemplateDocerSaveRecord">
    <vt:lpwstr>eyJoZGlkIjoiZjc0YWFlMzUxNjVlZTcxY2FlZTNjZDFlMzE3YzBjNDEiLCJ1c2VySWQiOiIxMTU3MzgyOTA5In0=</vt:lpwstr>
  </property>
</Properties>
</file>